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1532">
      <w:pPr>
        <w:rPr>
          <w:rFonts w:eastAsia="仿宋_GB2312"/>
          <w:sz w:val="32"/>
          <w:szCs w:val="32"/>
        </w:rPr>
      </w:pPr>
    </w:p>
    <w:p w14:paraId="7CB2C0C3">
      <w:pPr>
        <w:rPr>
          <w:rFonts w:eastAsia="仿宋_GB2312"/>
          <w:sz w:val="32"/>
          <w:szCs w:val="32"/>
        </w:rPr>
      </w:pPr>
    </w:p>
    <w:p w14:paraId="4B60A05C">
      <w:pPr>
        <w:spacing w:line="360" w:lineRule="auto"/>
        <w:jc w:val="center"/>
      </w:pPr>
    </w:p>
    <w:p w14:paraId="421EC96E">
      <w:pPr>
        <w:spacing w:line="360" w:lineRule="auto"/>
        <w:jc w:val="center"/>
        <w:rPr>
          <w:rFonts w:eastAsia="仿宋_GB2312"/>
          <w:sz w:val="32"/>
          <w:szCs w:val="32"/>
        </w:rPr>
      </w:pPr>
    </w:p>
    <w:p w14:paraId="5C3966C3">
      <w:pPr>
        <w:jc w:val="center"/>
        <w:rPr>
          <w:rFonts w:eastAsia="仿宋_GB2312"/>
          <w:sz w:val="32"/>
          <w:szCs w:val="32"/>
        </w:rPr>
      </w:pPr>
      <w:r>
        <w:rPr>
          <w:rFonts w:eastAsia="仿宋_GB2312"/>
          <w:sz w:val="32"/>
          <w:szCs w:val="32"/>
        </w:rPr>
        <w:t>津滨审批二室准〔202</w:t>
      </w:r>
      <w:r>
        <w:rPr>
          <w:rFonts w:hint="eastAsia" w:eastAsia="仿宋_GB2312"/>
          <w:sz w:val="32"/>
          <w:szCs w:val="32"/>
        </w:rPr>
        <w:t>6</w:t>
      </w:r>
      <w:r>
        <w:rPr>
          <w:rFonts w:eastAsia="仿宋_GB2312"/>
          <w:sz w:val="32"/>
          <w:szCs w:val="32"/>
        </w:rPr>
        <w:t>〕</w:t>
      </w:r>
      <w:r>
        <w:rPr>
          <w:rFonts w:hint="eastAsia" w:eastAsia="仿宋_GB2312"/>
          <w:sz w:val="32"/>
          <w:szCs w:val="32"/>
        </w:rPr>
        <w:t>77</w:t>
      </w:r>
      <w:r>
        <w:rPr>
          <w:rFonts w:eastAsia="仿宋_GB2312"/>
          <w:sz w:val="32"/>
          <w:szCs w:val="32"/>
        </w:rPr>
        <w:t>号</w:t>
      </w:r>
      <w:bookmarkStart w:id="0" w:name="_GoBack"/>
      <w:bookmarkEnd w:id="0"/>
    </w:p>
    <w:p w14:paraId="264B6A5A">
      <w:pPr>
        <w:pStyle w:val="14"/>
        <w:spacing w:line="360" w:lineRule="auto"/>
        <w:jc w:val="center"/>
        <w:rPr>
          <w:rFonts w:eastAsia="仿宋_GB2312"/>
          <w:kern w:val="2"/>
          <w:sz w:val="32"/>
          <w:szCs w:val="32"/>
        </w:rPr>
      </w:pPr>
      <w:r>
        <w:rPr>
          <w:rFonts w:eastAsia="仿宋_GB2312"/>
          <w:kern w:val="2"/>
          <w:sz w:val="32"/>
          <w:szCs w:val="32"/>
        </w:rPr>
        <w:t>项目代码：2506-120116-89-05-715958</w:t>
      </w:r>
    </w:p>
    <w:p w14:paraId="12F24062">
      <w:pPr>
        <w:pStyle w:val="14"/>
        <w:spacing w:line="360" w:lineRule="auto"/>
        <w:jc w:val="center"/>
        <w:rPr>
          <w:rFonts w:eastAsia="仿宋_GB2312"/>
          <w:kern w:val="2"/>
          <w:sz w:val="32"/>
          <w:szCs w:val="32"/>
        </w:rPr>
      </w:pPr>
    </w:p>
    <w:p w14:paraId="69AAB12B">
      <w:pPr>
        <w:pStyle w:val="14"/>
        <w:spacing w:line="600" w:lineRule="exact"/>
        <w:jc w:val="center"/>
        <w:rPr>
          <w:rFonts w:eastAsia="方正小标宋简体"/>
          <w:color w:val="000000"/>
          <w:sz w:val="44"/>
        </w:rPr>
      </w:pPr>
      <w:r>
        <w:rPr>
          <w:rFonts w:eastAsia="方正小标宋简体"/>
          <w:color w:val="000000"/>
          <w:sz w:val="44"/>
        </w:rPr>
        <w:t>关于天津博克百胜科技有限公司农用微生物菌剂生产项目环境影响表的批复</w:t>
      </w:r>
    </w:p>
    <w:p w14:paraId="2F3D83D5">
      <w:pPr>
        <w:spacing w:line="360" w:lineRule="auto"/>
        <w:jc w:val="center"/>
        <w:rPr>
          <w:b/>
          <w:color w:val="000000"/>
          <w:sz w:val="44"/>
        </w:rPr>
      </w:pPr>
    </w:p>
    <w:p w14:paraId="78DDE8EA">
      <w:pPr>
        <w:spacing w:line="360" w:lineRule="auto"/>
        <w:textAlignment w:val="baseline"/>
        <w:rPr>
          <w:rFonts w:eastAsia="仿宋_GB2312"/>
          <w:sz w:val="32"/>
          <w:szCs w:val="32"/>
        </w:rPr>
      </w:pPr>
      <w:r>
        <w:rPr>
          <w:rFonts w:eastAsia="仿宋_GB2312"/>
          <w:sz w:val="32"/>
          <w:szCs w:val="32"/>
        </w:rPr>
        <w:t>天津博克百胜科技有限公司：</w:t>
      </w:r>
    </w:p>
    <w:p w14:paraId="269EBE90">
      <w:pPr>
        <w:spacing w:line="360" w:lineRule="auto"/>
        <w:ind w:firstLine="640" w:firstLineChars="200"/>
        <w:textAlignment w:val="baseline"/>
        <w:rPr>
          <w:rFonts w:eastAsia="仿宋_GB2312"/>
          <w:sz w:val="32"/>
          <w:szCs w:val="32"/>
        </w:rPr>
      </w:pPr>
      <w:r>
        <w:rPr>
          <w:rFonts w:eastAsia="仿宋_GB2312"/>
          <w:sz w:val="32"/>
          <w:szCs w:val="32"/>
        </w:rPr>
        <w:t>你公司提交的《关于报批天津博克百胜科技有限公司农用微生物菌剂生产项目环境影响报告表的申请》、天津众峰环保科技有限公司编制的《天津博克百胜科技有限公司农用微生物菌剂生产项目环境影响报告表》等文件收悉。经研究，批复如下：</w:t>
      </w:r>
    </w:p>
    <w:p w14:paraId="7E5A469C">
      <w:pPr>
        <w:spacing w:line="360" w:lineRule="auto"/>
        <w:ind w:firstLine="800" w:firstLineChars="250"/>
        <w:textAlignment w:val="baseline"/>
        <w:rPr>
          <w:rFonts w:eastAsia="仿宋_GB2312"/>
          <w:bCs/>
          <w:sz w:val="32"/>
          <w:szCs w:val="32"/>
        </w:rPr>
      </w:pPr>
      <w:r>
        <w:rPr>
          <w:rFonts w:eastAsia="仿宋_GB2312"/>
          <w:sz w:val="32"/>
          <w:szCs w:val="32"/>
        </w:rPr>
        <w:t>一、你公司拟投资400万元人民币在位于</w:t>
      </w:r>
      <w:r>
        <w:rPr>
          <w:rFonts w:eastAsia="仿宋_GB2312"/>
          <w:bCs/>
          <w:sz w:val="32"/>
          <w:szCs w:val="32"/>
        </w:rPr>
        <w:t>天津市滨海新区大港中塘镇工业示范西区</w:t>
      </w:r>
      <w:r>
        <w:rPr>
          <w:rFonts w:eastAsia="仿宋_GB2312"/>
          <w:color w:val="000000"/>
          <w:sz w:val="32"/>
          <w:szCs w:val="32"/>
        </w:rPr>
        <w:t>的现有厂区内建设</w:t>
      </w:r>
      <w:r>
        <w:rPr>
          <w:rFonts w:eastAsia="仿宋_GB2312"/>
          <w:sz w:val="32"/>
          <w:szCs w:val="32"/>
        </w:rPr>
        <w:t>“农用微生物菌剂生产项目”</w:t>
      </w:r>
      <w:r>
        <w:rPr>
          <w:rFonts w:eastAsia="仿宋_GB2312"/>
          <w:color w:val="000000"/>
          <w:sz w:val="32"/>
          <w:szCs w:val="32"/>
        </w:rPr>
        <w:t>。项目的主要建设内容为：</w:t>
      </w:r>
      <w:r>
        <w:rPr>
          <w:rFonts w:eastAsia="仿宋_GB2312"/>
          <w:bCs/>
          <w:sz w:val="32"/>
          <w:szCs w:val="32"/>
        </w:rPr>
        <w:t>在现有3 号车间、4 号车间、7 号车间、10 号车间建设混配釜、砂磨机、高位罐、自动灌装线、小袋灌装机等设备，进行微生物菌剂的生产，预计年产微生物菌剂20000 吨。项目同步建设、改造相应环保治理设施。</w:t>
      </w:r>
      <w:r>
        <w:rPr>
          <w:rFonts w:eastAsia="仿宋_GB2312"/>
          <w:color w:val="000000"/>
          <w:sz w:val="32"/>
          <w:szCs w:val="32"/>
        </w:rPr>
        <w:t>项目</w:t>
      </w:r>
      <w:r>
        <w:rPr>
          <w:rFonts w:eastAsia="仿宋_GB2312"/>
          <w:bCs/>
          <w:sz w:val="32"/>
          <w:szCs w:val="32"/>
        </w:rPr>
        <w:t>环保投资34万元，占总投资额的8.5%，预计于2026年11月投产。</w:t>
      </w:r>
    </w:p>
    <w:p w14:paraId="0564668B">
      <w:pPr>
        <w:spacing w:line="360" w:lineRule="auto"/>
        <w:ind w:firstLine="640" w:firstLineChars="200"/>
        <w:textAlignment w:val="baseline"/>
        <w:rPr>
          <w:rFonts w:eastAsia="仿宋_GB2312"/>
          <w:sz w:val="32"/>
          <w:szCs w:val="32"/>
        </w:rPr>
      </w:pPr>
      <w:r>
        <w:rPr>
          <w:rFonts w:eastAsia="仿宋_GB2312"/>
          <w:sz w:val="32"/>
          <w:szCs w:val="32"/>
        </w:rPr>
        <w:t>2026年1月21 日至1月27日，我局将该项目环评报告的受理情况进行了公示；</w:t>
      </w:r>
      <w:r>
        <w:rPr>
          <w:rFonts w:hint="eastAsia" w:eastAsia="仿宋_GB2312"/>
          <w:sz w:val="32"/>
          <w:szCs w:val="32"/>
        </w:rPr>
        <w:t>1</w:t>
      </w:r>
      <w:r>
        <w:rPr>
          <w:rFonts w:eastAsia="仿宋_GB2312"/>
          <w:sz w:val="32"/>
          <w:szCs w:val="32"/>
        </w:rPr>
        <w:t>月</w:t>
      </w:r>
      <w:r>
        <w:rPr>
          <w:rFonts w:hint="eastAsia" w:eastAsia="仿宋_GB2312"/>
          <w:sz w:val="32"/>
          <w:szCs w:val="32"/>
        </w:rPr>
        <w:t>30</w:t>
      </w:r>
      <w:r>
        <w:rPr>
          <w:rFonts w:eastAsia="仿宋_GB2312"/>
          <w:sz w:val="32"/>
          <w:szCs w:val="32"/>
        </w:rPr>
        <w:t>日至</w:t>
      </w:r>
      <w:r>
        <w:rPr>
          <w:rFonts w:hint="eastAsia" w:eastAsia="仿宋_GB2312"/>
          <w:sz w:val="32"/>
          <w:szCs w:val="32"/>
        </w:rPr>
        <w:t>2</w:t>
      </w:r>
      <w:r>
        <w:rPr>
          <w:rFonts w:eastAsia="仿宋_GB2312"/>
          <w:sz w:val="32"/>
          <w:szCs w:val="32"/>
        </w:rPr>
        <w:t>月</w:t>
      </w:r>
      <w:r>
        <w:rPr>
          <w:rFonts w:hint="eastAsia" w:eastAsia="仿宋_GB2312"/>
          <w:sz w:val="32"/>
          <w:szCs w:val="32"/>
        </w:rPr>
        <w:t>5</w:t>
      </w:r>
      <w:r>
        <w:rPr>
          <w:rFonts w:eastAsia="仿宋_GB2312"/>
          <w:sz w:val="32"/>
          <w:szCs w:val="32"/>
        </w:rPr>
        <w:t>日，将该项目环评拟批复情况进行了公示；根据公众反馈意见情况及环评报告结论，在严格落实环评报告所提出的各项污染防治措施、确保各类污染物稳定达标的前提下，项目具备环境可行性。</w:t>
      </w:r>
    </w:p>
    <w:p w14:paraId="301A4F73">
      <w:pPr>
        <w:spacing w:line="360" w:lineRule="auto"/>
        <w:ind w:firstLine="640" w:firstLineChars="200"/>
        <w:textAlignment w:val="baseline"/>
        <w:rPr>
          <w:rFonts w:eastAsia="仿宋_GB2312"/>
          <w:sz w:val="32"/>
          <w:szCs w:val="32"/>
        </w:rPr>
      </w:pPr>
      <w:r>
        <w:rPr>
          <w:rFonts w:eastAsia="仿宋_GB2312"/>
          <w:sz w:val="32"/>
          <w:szCs w:val="32"/>
        </w:rPr>
        <w:t>二、在项目建设和运行期间，你公司应重点做好以下工作：</w:t>
      </w:r>
    </w:p>
    <w:p w14:paraId="2D1F70A0">
      <w:pPr>
        <w:spacing w:line="360" w:lineRule="auto"/>
        <w:ind w:firstLine="640" w:firstLineChars="200"/>
        <w:textAlignment w:val="baseline"/>
        <w:rPr>
          <w:rFonts w:eastAsia="仿宋_GB2312"/>
          <w:sz w:val="32"/>
          <w:szCs w:val="32"/>
        </w:rPr>
      </w:pPr>
      <w:r>
        <w:rPr>
          <w:rFonts w:eastAsia="仿宋_GB2312"/>
          <w:sz w:val="32"/>
          <w:szCs w:val="32"/>
        </w:rPr>
        <w:t>1.加强施工期的环境管理，严格落实《天津市大气污染防治条例》《天津市重污染天气应急预案》《天津市环境噪声污染防治管理办法》等相关要求，采取切实可行措施，严格控制施工扬尘、噪声、废水、固体废物对周围环境的影响。</w:t>
      </w:r>
    </w:p>
    <w:p w14:paraId="0BDC7561">
      <w:pPr>
        <w:spacing w:line="360" w:lineRule="auto"/>
        <w:ind w:firstLine="640" w:firstLineChars="200"/>
        <w:rPr>
          <w:rFonts w:eastAsia="仿宋_GB2312"/>
          <w:bCs/>
          <w:color w:val="FF0000"/>
          <w:sz w:val="32"/>
          <w:szCs w:val="32"/>
        </w:rPr>
      </w:pPr>
      <w:r>
        <w:rPr>
          <w:rFonts w:eastAsia="仿宋_GB2312"/>
          <w:bCs/>
          <w:sz w:val="32"/>
          <w:szCs w:val="32"/>
        </w:rPr>
        <w:t>2. 3 号车间、4 号车间、7 号车间、10 号车间混配釜投料过程产生的含尘废气经集气罩收集引入各自配套布袋除尘器处理后经4根15米高排气筒达标排放。</w:t>
      </w:r>
    </w:p>
    <w:p w14:paraId="734F7762">
      <w:pPr>
        <w:spacing w:line="360" w:lineRule="auto"/>
        <w:ind w:firstLine="640" w:firstLineChars="200"/>
        <w:rPr>
          <w:rFonts w:eastAsia="仿宋_GB2312"/>
          <w:bCs/>
          <w:sz w:val="32"/>
          <w:szCs w:val="32"/>
        </w:rPr>
      </w:pPr>
      <w:r>
        <w:rPr>
          <w:rFonts w:eastAsia="仿宋_GB2312"/>
          <w:bCs/>
          <w:sz w:val="32"/>
          <w:szCs w:val="32"/>
        </w:rPr>
        <w:t>采取有效措施，减少废气的无组织排放，确保颗粒物厂界无组织排放满足相应限值要求。</w:t>
      </w:r>
    </w:p>
    <w:p w14:paraId="72C224CB">
      <w:pPr>
        <w:spacing w:line="360" w:lineRule="auto"/>
        <w:ind w:firstLine="640"/>
        <w:rPr>
          <w:rFonts w:eastAsia="仿宋_GB2312"/>
          <w:bCs/>
          <w:sz w:val="32"/>
          <w:szCs w:val="32"/>
        </w:rPr>
      </w:pPr>
      <w:r>
        <w:rPr>
          <w:rFonts w:eastAsia="仿宋_GB2312"/>
          <w:bCs/>
          <w:sz w:val="32"/>
          <w:szCs w:val="32"/>
        </w:rPr>
        <w:t>加强废气治理设施运行管理，尤其是要严格控制异常工况下的废气排放，避免对周边环境造成影响。</w:t>
      </w:r>
    </w:p>
    <w:p w14:paraId="4D8D536F">
      <w:pPr>
        <w:spacing w:line="360" w:lineRule="auto"/>
        <w:ind w:firstLine="640" w:firstLineChars="200"/>
        <w:textAlignment w:val="baseline"/>
        <w:rPr>
          <w:rFonts w:eastAsia="仿宋_GB2312"/>
          <w:color w:val="0000FF"/>
          <w:sz w:val="32"/>
          <w:szCs w:val="32"/>
        </w:rPr>
      </w:pPr>
      <w:r>
        <w:rPr>
          <w:rFonts w:eastAsia="仿宋_GB2312"/>
          <w:sz w:val="32"/>
          <w:szCs w:val="32"/>
        </w:rPr>
        <w:t>3.项目不新增废水排放。</w:t>
      </w:r>
    </w:p>
    <w:p w14:paraId="75E54F02">
      <w:pPr>
        <w:spacing w:line="360" w:lineRule="auto"/>
        <w:ind w:firstLine="640" w:firstLineChars="200"/>
        <w:textAlignment w:val="baseline"/>
        <w:rPr>
          <w:rFonts w:eastAsia="仿宋_GB2312"/>
          <w:sz w:val="32"/>
          <w:szCs w:val="32"/>
        </w:rPr>
      </w:pPr>
      <w:r>
        <w:rPr>
          <w:rFonts w:eastAsia="仿宋_GB2312"/>
          <w:sz w:val="32"/>
          <w:szCs w:val="32"/>
        </w:rPr>
        <w:t>4.合理布局，选用低噪声设备，并采取隔声降噪措施，保证厂界噪声达标。</w:t>
      </w:r>
    </w:p>
    <w:p w14:paraId="316E0885">
      <w:pPr>
        <w:spacing w:line="360" w:lineRule="auto"/>
        <w:ind w:firstLine="640" w:firstLineChars="200"/>
        <w:contextualSpacing/>
        <w:rPr>
          <w:rFonts w:eastAsia="仿宋_GB2312"/>
          <w:sz w:val="32"/>
          <w:szCs w:val="32"/>
        </w:rPr>
      </w:pPr>
      <w:r>
        <w:rPr>
          <w:rFonts w:eastAsia="仿宋_GB2312"/>
          <w:sz w:val="32"/>
          <w:szCs w:val="32"/>
        </w:rPr>
        <w:t>5. 做好各类固体废物的收集、贮存、运输和处置，做到资源化、减量化、无害化。项目新增产生的化验废水、废培养基、设备清洗废水等废物须按照《危险废物收集 贮存 运输技术规范》（HJ2025-2012）进行收集、贮存及运输，并交由有相应资质的公司进行处理、处置；依托的现有危险废物暂存库应按《危险废物贮存污染控制标准》（GB18597-2023）进行管理。项目产生的废包装材料、废布袋、收集尘等交</w:t>
      </w:r>
      <w:r>
        <w:rPr>
          <w:rFonts w:eastAsia="仿宋_GB2312"/>
          <w:bCs/>
          <w:sz w:val="32"/>
          <w:szCs w:val="32"/>
        </w:rPr>
        <w:t>一般固废处置单位处置。</w:t>
      </w:r>
    </w:p>
    <w:p w14:paraId="2194DC3E">
      <w:pPr>
        <w:spacing w:line="360" w:lineRule="auto"/>
        <w:ind w:firstLine="800" w:firstLineChars="250"/>
        <w:textAlignment w:val="baseline"/>
        <w:rPr>
          <w:rFonts w:eastAsia="仿宋_GB2312"/>
          <w:sz w:val="32"/>
          <w:szCs w:val="32"/>
        </w:rPr>
      </w:pPr>
      <w:r>
        <w:rPr>
          <w:rFonts w:eastAsia="仿宋_GB2312"/>
          <w:sz w:val="32"/>
          <w:szCs w:val="32"/>
        </w:rPr>
        <w:t>6.完善突发环境风险应急预案，并报区生态环境局备案；定期开展突发环境事件应急演练，有效防范和应对环境风险，杜绝环境污染事故。</w:t>
      </w:r>
    </w:p>
    <w:p w14:paraId="3AF650EC">
      <w:pPr>
        <w:spacing w:line="360" w:lineRule="auto"/>
        <w:ind w:firstLine="640" w:firstLineChars="200"/>
        <w:textAlignment w:val="baseline"/>
        <w:rPr>
          <w:rFonts w:eastAsia="仿宋_GB2312"/>
          <w:sz w:val="32"/>
          <w:szCs w:val="32"/>
        </w:rPr>
      </w:pPr>
      <w:r>
        <w:rPr>
          <w:rFonts w:eastAsia="仿宋_GB2312"/>
          <w:sz w:val="32"/>
          <w:szCs w:val="32"/>
        </w:rPr>
        <w:t>7.落实报告表提出的环境监测计划，定期开展监测工作。</w:t>
      </w:r>
    </w:p>
    <w:p w14:paraId="56311BCA">
      <w:pPr>
        <w:spacing w:line="360" w:lineRule="auto"/>
        <w:ind w:firstLine="640" w:firstLineChars="200"/>
        <w:textAlignment w:val="baseline"/>
        <w:rPr>
          <w:rFonts w:eastAsia="仿宋_GB2312"/>
          <w:sz w:val="32"/>
          <w:szCs w:val="32"/>
        </w:rPr>
      </w:pPr>
      <w:r>
        <w:rPr>
          <w:rFonts w:eastAsia="仿宋_GB2312"/>
          <w:sz w:val="32"/>
          <w:szCs w:val="32"/>
        </w:rPr>
        <w:t>三、根据报告表，本项目不新增主要污染物排放总量。</w:t>
      </w:r>
    </w:p>
    <w:p w14:paraId="094C66CC">
      <w:pPr>
        <w:spacing w:line="360" w:lineRule="auto"/>
        <w:ind w:firstLine="640" w:firstLineChars="200"/>
        <w:textAlignment w:val="baseline"/>
        <w:rPr>
          <w:rFonts w:eastAsia="仿宋_GB2312"/>
          <w:sz w:val="32"/>
          <w:szCs w:val="32"/>
        </w:rPr>
      </w:pPr>
      <w:r>
        <w:rPr>
          <w:rFonts w:eastAsia="仿宋_GB2312"/>
          <w:sz w:val="32"/>
          <w:szCs w:val="32"/>
        </w:rPr>
        <w:t>四、项目建设应严格执行环境保护设施与主体工程同时设计、同时施工、同时投产使用的“三同时”管理制度，竣工后按规定的标准和程序开展环境保护验收，经验收合格后方可正式投入使用；在该项目发生实际排污之前，做好排污许可管理的相关工作；若项目的性质、规模、地点、生产工艺或防治污染的措施发生重大变动，须重新报批环境影响评价文件。</w:t>
      </w:r>
    </w:p>
    <w:p w14:paraId="6D7F0A6F">
      <w:pPr>
        <w:spacing w:line="360" w:lineRule="auto"/>
        <w:ind w:firstLine="640" w:firstLineChars="200"/>
        <w:textAlignment w:val="baseline"/>
        <w:rPr>
          <w:rFonts w:eastAsia="仿宋_GB2312"/>
          <w:sz w:val="32"/>
          <w:szCs w:val="32"/>
        </w:rPr>
      </w:pPr>
      <w:r>
        <w:rPr>
          <w:rFonts w:eastAsia="仿宋_GB2312"/>
          <w:sz w:val="32"/>
          <w:szCs w:val="32"/>
        </w:rPr>
        <w:t>五、项目应执行以下污染物排放控制标准：</w:t>
      </w:r>
    </w:p>
    <w:p w14:paraId="42AAE4E4">
      <w:pPr>
        <w:spacing w:line="360" w:lineRule="auto"/>
        <w:ind w:firstLine="640" w:firstLineChars="200"/>
        <w:textAlignment w:val="baseline"/>
        <w:rPr>
          <w:rFonts w:eastAsia="仿宋_GB2312"/>
          <w:sz w:val="32"/>
          <w:szCs w:val="32"/>
        </w:rPr>
      </w:pPr>
      <w:r>
        <w:rPr>
          <w:rFonts w:eastAsia="仿宋_GB2312"/>
          <w:sz w:val="32"/>
          <w:szCs w:val="32"/>
        </w:rPr>
        <w:t>1.</w:t>
      </w:r>
      <w:r>
        <w:rPr>
          <w:kern w:val="0"/>
          <w:szCs w:val="21"/>
        </w:rPr>
        <w:t xml:space="preserve"> </w:t>
      </w:r>
      <w:r>
        <w:rPr>
          <w:rFonts w:eastAsia="仿宋_GB2312"/>
          <w:sz w:val="32"/>
          <w:szCs w:val="32"/>
        </w:rPr>
        <w:t>《大气污染物综合排放标准》（GB16297-1996）；《农药制造工业大气污染物排放标准》（GB39727-2020）；《恶臭污染物排放标准》（DB12/059-2018）；</w:t>
      </w:r>
    </w:p>
    <w:p w14:paraId="6027C0AD">
      <w:pPr>
        <w:spacing w:line="360" w:lineRule="auto"/>
        <w:ind w:firstLine="630"/>
        <w:textAlignment w:val="baseline"/>
        <w:rPr>
          <w:rFonts w:eastAsia="仿宋_GB2312"/>
          <w:sz w:val="32"/>
          <w:szCs w:val="32"/>
        </w:rPr>
      </w:pPr>
      <w:r>
        <w:rPr>
          <w:rFonts w:eastAsia="仿宋_GB2312"/>
          <w:sz w:val="32"/>
          <w:szCs w:val="32"/>
        </w:rPr>
        <w:t>2.《工业企业厂界环境噪声排放标准》（GB12348-2008）3类；</w:t>
      </w:r>
    </w:p>
    <w:p w14:paraId="518B05FE">
      <w:pPr>
        <w:spacing w:line="360" w:lineRule="auto"/>
        <w:ind w:firstLine="630"/>
        <w:textAlignment w:val="baseline"/>
        <w:rPr>
          <w:rFonts w:eastAsia="仿宋_GB2312"/>
          <w:sz w:val="32"/>
          <w:szCs w:val="32"/>
        </w:rPr>
      </w:pPr>
      <w:r>
        <w:rPr>
          <w:rFonts w:eastAsia="仿宋_GB2312"/>
          <w:sz w:val="32"/>
          <w:szCs w:val="32"/>
        </w:rPr>
        <w:t xml:space="preserve"> 3.《危险废物贮存污染控制标准》（GB18597-2023）；《危险废物收集 贮存 运输技术规范》（HJ2025-2012）；《一般工业固体废物贮存和填埋污染控制标准》（GB18599-2020）。</w:t>
      </w:r>
    </w:p>
    <w:p w14:paraId="360CAC57">
      <w:pPr>
        <w:spacing w:line="360" w:lineRule="auto"/>
        <w:ind w:firstLine="630"/>
        <w:textAlignment w:val="baseline"/>
      </w:pPr>
      <w:r>
        <w:rPr>
          <w:rFonts w:eastAsia="仿宋_GB2312"/>
          <w:sz w:val="32"/>
          <w:szCs w:val="32"/>
        </w:rPr>
        <w:t>此复。</w:t>
      </w:r>
    </w:p>
    <w:p w14:paraId="7D6D1565">
      <w:pPr>
        <w:spacing w:line="360" w:lineRule="auto"/>
        <w:rPr>
          <w:rFonts w:eastAsia="仿宋_GB2312"/>
          <w:sz w:val="28"/>
          <w:szCs w:val="28"/>
        </w:rPr>
      </w:pPr>
    </w:p>
    <w:p w14:paraId="1072D3EA">
      <w:pPr>
        <w:spacing w:line="360" w:lineRule="auto"/>
        <w:rPr>
          <w:rFonts w:eastAsia="仿宋_GB2312"/>
          <w:sz w:val="28"/>
          <w:szCs w:val="28"/>
        </w:rPr>
      </w:pPr>
    </w:p>
    <w:p w14:paraId="4A7B233E">
      <w:pPr>
        <w:spacing w:line="360" w:lineRule="auto"/>
        <w:ind w:right="1680" w:rightChars="800"/>
        <w:jc w:val="right"/>
        <w:rPr>
          <w:rFonts w:eastAsia="仿宋_GB2312"/>
          <w:sz w:val="32"/>
          <w:szCs w:val="32"/>
        </w:rPr>
      </w:pPr>
      <w:r>
        <w:rPr>
          <w:rFonts w:eastAsia="仿宋_GB2312"/>
          <w:sz w:val="32"/>
          <w:szCs w:val="32"/>
        </w:rPr>
        <w:t>2026年</w:t>
      </w:r>
      <w:r>
        <w:rPr>
          <w:rFonts w:hint="eastAsia" w:eastAsia="仿宋_GB2312"/>
          <w:sz w:val="32"/>
          <w:szCs w:val="32"/>
        </w:rPr>
        <w:t>2</w:t>
      </w:r>
      <w:r>
        <w:rPr>
          <w:rFonts w:eastAsia="仿宋_GB2312"/>
          <w:sz w:val="32"/>
          <w:szCs w:val="32"/>
        </w:rPr>
        <w:t xml:space="preserve"> 月</w:t>
      </w:r>
      <w:r>
        <w:rPr>
          <w:rFonts w:hint="eastAsia" w:eastAsia="仿宋_GB2312"/>
          <w:sz w:val="32"/>
          <w:szCs w:val="32"/>
        </w:rPr>
        <w:t>6</w:t>
      </w:r>
      <w:r>
        <w:rPr>
          <w:rFonts w:eastAsia="仿宋_GB2312"/>
          <w:sz w:val="32"/>
          <w:szCs w:val="32"/>
        </w:rPr>
        <w:t>日</w:t>
      </w:r>
    </w:p>
    <w:p w14:paraId="46C56CFA">
      <w:pPr>
        <w:spacing w:line="360" w:lineRule="auto"/>
        <w:rPr>
          <w:rFonts w:eastAsia="仿宋_GB2312"/>
          <w:sz w:val="28"/>
          <w:szCs w:val="28"/>
        </w:rPr>
      </w:pPr>
    </w:p>
    <w:p w14:paraId="7D26047E">
      <w:pPr>
        <w:spacing w:line="360" w:lineRule="auto"/>
        <w:rPr>
          <w:rFonts w:eastAsia="仿宋_GB2312"/>
          <w:sz w:val="28"/>
          <w:szCs w:val="28"/>
        </w:rPr>
      </w:pPr>
    </w:p>
    <w:p w14:paraId="22702D9C">
      <w:pPr>
        <w:spacing w:line="360" w:lineRule="auto"/>
        <w:rPr>
          <w:rFonts w:eastAsia="仿宋_GB2312"/>
          <w:sz w:val="28"/>
          <w:szCs w:val="28"/>
        </w:rPr>
      </w:pPr>
    </w:p>
    <w:p w14:paraId="195304ED">
      <w:pPr>
        <w:spacing w:line="360" w:lineRule="auto"/>
        <w:ind w:right="1680" w:rightChars="800"/>
        <w:jc w:val="right"/>
        <w:rPr>
          <w:rFonts w:eastAsia="仿宋_GB2312"/>
          <w:sz w:val="28"/>
          <w:szCs w:val="28"/>
        </w:rPr>
      </w:pPr>
    </w:p>
    <w:p w14:paraId="637181A0">
      <w:pPr>
        <w:spacing w:line="360" w:lineRule="auto"/>
        <w:rPr>
          <w:rFonts w:eastAsia="仿宋_GB2312"/>
          <w:sz w:val="28"/>
          <w:szCs w:val="28"/>
        </w:rPr>
      </w:pPr>
    </w:p>
    <w:p w14:paraId="51B76586">
      <w:pPr>
        <w:spacing w:line="680" w:lineRule="exact"/>
        <w:rPr>
          <w:rFonts w:eastAsia="仿宋_GB2312"/>
          <w:sz w:val="28"/>
          <w:szCs w:val="28"/>
        </w:rPr>
      </w:pPr>
    </w:p>
    <w:p w14:paraId="5C047345">
      <w:pPr>
        <w:spacing w:line="680" w:lineRule="exact"/>
        <w:rPr>
          <w:rFonts w:eastAsia="仿宋_GB2312"/>
          <w:sz w:val="28"/>
          <w:szCs w:val="28"/>
        </w:rPr>
      </w:pPr>
    </w:p>
    <w:p w14:paraId="49A83E49">
      <w:pPr>
        <w:spacing w:line="680" w:lineRule="exact"/>
        <w:rPr>
          <w:rFonts w:eastAsia="仿宋_GB2312"/>
          <w:sz w:val="28"/>
          <w:szCs w:val="28"/>
        </w:rPr>
      </w:pPr>
    </w:p>
    <w:p w14:paraId="22AEE03D">
      <w:pPr>
        <w:spacing w:line="680" w:lineRule="exact"/>
        <w:rPr>
          <w:rFonts w:eastAsia="仿宋_GB2312"/>
          <w:sz w:val="28"/>
          <w:szCs w:val="28"/>
        </w:rPr>
      </w:pPr>
      <w:r>
        <w:rPr>
          <w:rFonts w:eastAsia="仿宋_GB2312"/>
          <w:sz w:val="28"/>
          <w:szCs w:val="28"/>
        </w:rPr>
        <w:t>主题词：环境影响  报告表  批复                       （共印3份）</w:t>
      </w:r>
    </w:p>
    <w:tbl>
      <w:tblPr>
        <w:tblStyle w:val="8"/>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172ACF2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tcPr>
          <w:p w14:paraId="12717D61">
            <w:pPr>
              <w:spacing w:line="680" w:lineRule="exact"/>
              <w:ind w:right="160"/>
              <w:rPr>
                <w:sz w:val="32"/>
              </w:rPr>
            </w:pPr>
            <w:r>
              <w:rPr>
                <w:rFonts w:eastAsia="仿宋_GB2312"/>
                <w:sz w:val="28"/>
                <w:szCs w:val="28"/>
              </w:rPr>
              <w:t>抄  送：天津市滨海新区生态环境局</w:t>
            </w:r>
          </w:p>
        </w:tc>
      </w:tr>
    </w:tbl>
    <w:p w14:paraId="2A032D7C">
      <w:pPr>
        <w:rPr>
          <w:rFonts w:eastAsia="仿宋_GB2312"/>
          <w:sz w:val="32"/>
          <w:szCs w:val="32"/>
        </w:rPr>
      </w:pPr>
      <w:r>
        <w:rPr>
          <w:rFonts w:eastAsia="仿宋_GB2312"/>
          <w:sz w:val="28"/>
          <w:szCs w:val="28"/>
        </w:rPr>
        <w:t>天津市滨海新区行政审批局                   2026年</w:t>
      </w:r>
      <w:r>
        <w:rPr>
          <w:rFonts w:hint="eastAsia" w:eastAsia="仿宋_GB2312"/>
          <w:sz w:val="28"/>
          <w:szCs w:val="28"/>
        </w:rPr>
        <w:t>2</w:t>
      </w:r>
      <w:r>
        <w:rPr>
          <w:rFonts w:eastAsia="仿宋_GB2312"/>
          <w:sz w:val="28"/>
          <w:szCs w:val="28"/>
        </w:rPr>
        <w:t>月</w:t>
      </w:r>
      <w:r>
        <w:rPr>
          <w:rFonts w:hint="eastAsia" w:eastAsia="仿宋_GB2312"/>
          <w:sz w:val="28"/>
          <w:szCs w:val="28"/>
        </w:rPr>
        <w:t>6</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4724">
    <w:pPr>
      <w:pStyle w:val="6"/>
      <w:tabs>
        <w:tab w:val="left" w:pos="1945"/>
        <w:tab w:val="clear" w:pos="4153"/>
      </w:tabs>
      <w:ind w:right="360"/>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path/>
          <v:fill on="f" focussize="0,0"/>
          <v:stroke on="f" weight="0.5pt" joinstyle="miter"/>
          <v:imagedata o:title=""/>
          <o:lock v:ext="edit"/>
          <v:textbox inset="0mm,0mm,0mm,0mm" style="mso-fit-shape-to-text:t;">
            <w:txbxContent>
              <w:p w14:paraId="3D49D335">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81E5">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9C84147">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NhZDJlMzAwZTE0OTRjMTQ5OTJjY2ZiMzRkMmYxNjUifQ=="/>
  </w:docVars>
  <w:rsids>
    <w:rsidRoot w:val="00745E92"/>
    <w:rsid w:val="000052E2"/>
    <w:rsid w:val="00010BE8"/>
    <w:rsid w:val="00050EFA"/>
    <w:rsid w:val="00060101"/>
    <w:rsid w:val="00093424"/>
    <w:rsid w:val="000D0BAA"/>
    <w:rsid w:val="000F1C95"/>
    <w:rsid w:val="000F7AB4"/>
    <w:rsid w:val="001070EC"/>
    <w:rsid w:val="00112974"/>
    <w:rsid w:val="00140AAE"/>
    <w:rsid w:val="00145F43"/>
    <w:rsid w:val="00152774"/>
    <w:rsid w:val="00180A6A"/>
    <w:rsid w:val="00180D2F"/>
    <w:rsid w:val="001964EB"/>
    <w:rsid w:val="001A023C"/>
    <w:rsid w:val="001A6307"/>
    <w:rsid w:val="001B2EE7"/>
    <w:rsid w:val="001B7C4E"/>
    <w:rsid w:val="001C1BBC"/>
    <w:rsid w:val="001C7D61"/>
    <w:rsid w:val="00204CF7"/>
    <w:rsid w:val="00207E90"/>
    <w:rsid w:val="00234BD5"/>
    <w:rsid w:val="00254B41"/>
    <w:rsid w:val="00257FC8"/>
    <w:rsid w:val="002A478B"/>
    <w:rsid w:val="002B2EB1"/>
    <w:rsid w:val="002E284B"/>
    <w:rsid w:val="002F3EAC"/>
    <w:rsid w:val="002F77FC"/>
    <w:rsid w:val="003003FF"/>
    <w:rsid w:val="0030060F"/>
    <w:rsid w:val="00314F3F"/>
    <w:rsid w:val="00345096"/>
    <w:rsid w:val="00371377"/>
    <w:rsid w:val="00380F59"/>
    <w:rsid w:val="00382500"/>
    <w:rsid w:val="00396D44"/>
    <w:rsid w:val="003A2291"/>
    <w:rsid w:val="003D5026"/>
    <w:rsid w:val="003E7586"/>
    <w:rsid w:val="003F4130"/>
    <w:rsid w:val="004167F4"/>
    <w:rsid w:val="00421888"/>
    <w:rsid w:val="00454338"/>
    <w:rsid w:val="00487BC1"/>
    <w:rsid w:val="004B1976"/>
    <w:rsid w:val="004D2974"/>
    <w:rsid w:val="005043B0"/>
    <w:rsid w:val="00531BD1"/>
    <w:rsid w:val="005410B5"/>
    <w:rsid w:val="00542BD1"/>
    <w:rsid w:val="00566C93"/>
    <w:rsid w:val="00581CF5"/>
    <w:rsid w:val="005A277A"/>
    <w:rsid w:val="005A656C"/>
    <w:rsid w:val="005C54CE"/>
    <w:rsid w:val="005D75BB"/>
    <w:rsid w:val="005F7369"/>
    <w:rsid w:val="0060338D"/>
    <w:rsid w:val="006122D3"/>
    <w:rsid w:val="00631BCE"/>
    <w:rsid w:val="006645C7"/>
    <w:rsid w:val="006959D6"/>
    <w:rsid w:val="006A0BFE"/>
    <w:rsid w:val="006D2E5C"/>
    <w:rsid w:val="007023EF"/>
    <w:rsid w:val="0071652F"/>
    <w:rsid w:val="00745E92"/>
    <w:rsid w:val="00750CBB"/>
    <w:rsid w:val="0078507C"/>
    <w:rsid w:val="00792C47"/>
    <w:rsid w:val="007939DD"/>
    <w:rsid w:val="007B62FE"/>
    <w:rsid w:val="007E1BEA"/>
    <w:rsid w:val="007E40B4"/>
    <w:rsid w:val="007E695E"/>
    <w:rsid w:val="00817EB3"/>
    <w:rsid w:val="008208B6"/>
    <w:rsid w:val="00863565"/>
    <w:rsid w:val="008B1BF1"/>
    <w:rsid w:val="008B7E97"/>
    <w:rsid w:val="008D2AAF"/>
    <w:rsid w:val="008D59FC"/>
    <w:rsid w:val="008F05BC"/>
    <w:rsid w:val="00950011"/>
    <w:rsid w:val="009807C5"/>
    <w:rsid w:val="009824E1"/>
    <w:rsid w:val="0099150D"/>
    <w:rsid w:val="00996955"/>
    <w:rsid w:val="009A1665"/>
    <w:rsid w:val="009B1ECE"/>
    <w:rsid w:val="009D54C7"/>
    <w:rsid w:val="009D7E7F"/>
    <w:rsid w:val="00A0549A"/>
    <w:rsid w:val="00A31EB3"/>
    <w:rsid w:val="00A367FF"/>
    <w:rsid w:val="00A541C7"/>
    <w:rsid w:val="00A6299F"/>
    <w:rsid w:val="00A75EF6"/>
    <w:rsid w:val="00A85A8F"/>
    <w:rsid w:val="00AD7A1F"/>
    <w:rsid w:val="00AF63AB"/>
    <w:rsid w:val="00B13EFF"/>
    <w:rsid w:val="00B351D5"/>
    <w:rsid w:val="00B375DB"/>
    <w:rsid w:val="00B82775"/>
    <w:rsid w:val="00B941D8"/>
    <w:rsid w:val="00BE222C"/>
    <w:rsid w:val="00BF6B0B"/>
    <w:rsid w:val="00C34CE4"/>
    <w:rsid w:val="00C8289E"/>
    <w:rsid w:val="00C87870"/>
    <w:rsid w:val="00CE5024"/>
    <w:rsid w:val="00D006C4"/>
    <w:rsid w:val="00D12F65"/>
    <w:rsid w:val="00D43121"/>
    <w:rsid w:val="00D52B80"/>
    <w:rsid w:val="00D77396"/>
    <w:rsid w:val="00D808C4"/>
    <w:rsid w:val="00DA5608"/>
    <w:rsid w:val="00DD7D5A"/>
    <w:rsid w:val="00DE0B7D"/>
    <w:rsid w:val="00E334F0"/>
    <w:rsid w:val="00E530D0"/>
    <w:rsid w:val="00E630C8"/>
    <w:rsid w:val="00E81FC7"/>
    <w:rsid w:val="00E913AD"/>
    <w:rsid w:val="00EA5C54"/>
    <w:rsid w:val="00EE06C8"/>
    <w:rsid w:val="00EE5BA6"/>
    <w:rsid w:val="00EE5C4B"/>
    <w:rsid w:val="00EF0A9C"/>
    <w:rsid w:val="00EF29FD"/>
    <w:rsid w:val="00F10477"/>
    <w:rsid w:val="00F1135F"/>
    <w:rsid w:val="00F33160"/>
    <w:rsid w:val="00F436B2"/>
    <w:rsid w:val="00F54B05"/>
    <w:rsid w:val="00F56775"/>
    <w:rsid w:val="00F71A97"/>
    <w:rsid w:val="00F842B6"/>
    <w:rsid w:val="00FA4B85"/>
    <w:rsid w:val="00FC26E4"/>
    <w:rsid w:val="00FF4021"/>
    <w:rsid w:val="0196080C"/>
    <w:rsid w:val="01AA3C90"/>
    <w:rsid w:val="029F3468"/>
    <w:rsid w:val="03360360"/>
    <w:rsid w:val="03A721F7"/>
    <w:rsid w:val="045E0635"/>
    <w:rsid w:val="04883B8C"/>
    <w:rsid w:val="04C7570B"/>
    <w:rsid w:val="04DC3EF8"/>
    <w:rsid w:val="04F14182"/>
    <w:rsid w:val="052028A1"/>
    <w:rsid w:val="052D7F94"/>
    <w:rsid w:val="05951337"/>
    <w:rsid w:val="05F9595A"/>
    <w:rsid w:val="062E3196"/>
    <w:rsid w:val="06AC7015"/>
    <w:rsid w:val="07CF6683"/>
    <w:rsid w:val="0812260A"/>
    <w:rsid w:val="08373238"/>
    <w:rsid w:val="08800DE6"/>
    <w:rsid w:val="09011B8A"/>
    <w:rsid w:val="098E4BD7"/>
    <w:rsid w:val="0A2B38B7"/>
    <w:rsid w:val="0A4078A3"/>
    <w:rsid w:val="0A585E67"/>
    <w:rsid w:val="0B465319"/>
    <w:rsid w:val="0C1E1FAD"/>
    <w:rsid w:val="0C405FB4"/>
    <w:rsid w:val="0D046C1A"/>
    <w:rsid w:val="0D054984"/>
    <w:rsid w:val="0D3B59CD"/>
    <w:rsid w:val="0D560654"/>
    <w:rsid w:val="0D561C7C"/>
    <w:rsid w:val="0DA83EAF"/>
    <w:rsid w:val="0F3919D8"/>
    <w:rsid w:val="0F816E9B"/>
    <w:rsid w:val="0FBA07A7"/>
    <w:rsid w:val="10511791"/>
    <w:rsid w:val="10DE29D7"/>
    <w:rsid w:val="10FB775C"/>
    <w:rsid w:val="111F4694"/>
    <w:rsid w:val="113E16A1"/>
    <w:rsid w:val="12C90B6F"/>
    <w:rsid w:val="12D210F5"/>
    <w:rsid w:val="12F732E5"/>
    <w:rsid w:val="135B2AA8"/>
    <w:rsid w:val="13B03544"/>
    <w:rsid w:val="14A960CE"/>
    <w:rsid w:val="15015DE7"/>
    <w:rsid w:val="15045C82"/>
    <w:rsid w:val="15795DAB"/>
    <w:rsid w:val="162A7EEF"/>
    <w:rsid w:val="164B3A94"/>
    <w:rsid w:val="16635D04"/>
    <w:rsid w:val="16A27E4C"/>
    <w:rsid w:val="18385531"/>
    <w:rsid w:val="18B716FF"/>
    <w:rsid w:val="194C0391"/>
    <w:rsid w:val="194D2965"/>
    <w:rsid w:val="198A6439"/>
    <w:rsid w:val="19E67A83"/>
    <w:rsid w:val="1A8D5D30"/>
    <w:rsid w:val="1AD036CD"/>
    <w:rsid w:val="1B2A4C1F"/>
    <w:rsid w:val="1BAEF058"/>
    <w:rsid w:val="1BD34803"/>
    <w:rsid w:val="1C281B6B"/>
    <w:rsid w:val="1C293D74"/>
    <w:rsid w:val="1C5E66F7"/>
    <w:rsid w:val="1D1B7F9F"/>
    <w:rsid w:val="1D5D37DF"/>
    <w:rsid w:val="1D7C474C"/>
    <w:rsid w:val="1DA47F82"/>
    <w:rsid w:val="1DCA541D"/>
    <w:rsid w:val="1DFBC278"/>
    <w:rsid w:val="1E076CB4"/>
    <w:rsid w:val="1E1060F6"/>
    <w:rsid w:val="1E2079AE"/>
    <w:rsid w:val="1E2813D6"/>
    <w:rsid w:val="1E74091F"/>
    <w:rsid w:val="1E7F071B"/>
    <w:rsid w:val="1F363595"/>
    <w:rsid w:val="1F9C4F18"/>
    <w:rsid w:val="2087555A"/>
    <w:rsid w:val="21240591"/>
    <w:rsid w:val="21F96D4D"/>
    <w:rsid w:val="22431C91"/>
    <w:rsid w:val="229F5574"/>
    <w:rsid w:val="23600C7E"/>
    <w:rsid w:val="23CA69F1"/>
    <w:rsid w:val="23D62413"/>
    <w:rsid w:val="23E87AE3"/>
    <w:rsid w:val="240F5411"/>
    <w:rsid w:val="24B9401E"/>
    <w:rsid w:val="24D23C39"/>
    <w:rsid w:val="253A1F30"/>
    <w:rsid w:val="25547F3A"/>
    <w:rsid w:val="25611E40"/>
    <w:rsid w:val="25F51DE3"/>
    <w:rsid w:val="26301E3E"/>
    <w:rsid w:val="26C626BC"/>
    <w:rsid w:val="2709199E"/>
    <w:rsid w:val="271A050D"/>
    <w:rsid w:val="274B55F3"/>
    <w:rsid w:val="27F26B29"/>
    <w:rsid w:val="283662C3"/>
    <w:rsid w:val="29121C1A"/>
    <w:rsid w:val="293C52F5"/>
    <w:rsid w:val="299C3BC1"/>
    <w:rsid w:val="2B827DFB"/>
    <w:rsid w:val="2C740924"/>
    <w:rsid w:val="2D053DEF"/>
    <w:rsid w:val="2D092D2F"/>
    <w:rsid w:val="2D3E280E"/>
    <w:rsid w:val="2DA916AB"/>
    <w:rsid w:val="2EAD5884"/>
    <w:rsid w:val="2EC44C19"/>
    <w:rsid w:val="2EFE5594"/>
    <w:rsid w:val="2F6A4212"/>
    <w:rsid w:val="2F7B90F9"/>
    <w:rsid w:val="2F9D17A4"/>
    <w:rsid w:val="2FBB487B"/>
    <w:rsid w:val="2FFC202C"/>
    <w:rsid w:val="30A7301A"/>
    <w:rsid w:val="30BC5390"/>
    <w:rsid w:val="30C65A6F"/>
    <w:rsid w:val="30DE044C"/>
    <w:rsid w:val="319670E1"/>
    <w:rsid w:val="31A8769A"/>
    <w:rsid w:val="31D02272"/>
    <w:rsid w:val="328F2DD0"/>
    <w:rsid w:val="32BD3E0B"/>
    <w:rsid w:val="32DC4CE6"/>
    <w:rsid w:val="33815AAF"/>
    <w:rsid w:val="33D92B57"/>
    <w:rsid w:val="33EC13A9"/>
    <w:rsid w:val="3420390A"/>
    <w:rsid w:val="344060F4"/>
    <w:rsid w:val="349E50E9"/>
    <w:rsid w:val="350407BA"/>
    <w:rsid w:val="356250D3"/>
    <w:rsid w:val="357300D5"/>
    <w:rsid w:val="35922F49"/>
    <w:rsid w:val="35FE136C"/>
    <w:rsid w:val="3723249F"/>
    <w:rsid w:val="372D0C2F"/>
    <w:rsid w:val="37BF7DF2"/>
    <w:rsid w:val="38C05E78"/>
    <w:rsid w:val="38F81121"/>
    <w:rsid w:val="39710D21"/>
    <w:rsid w:val="39BD94A0"/>
    <w:rsid w:val="39D54627"/>
    <w:rsid w:val="3A6D403A"/>
    <w:rsid w:val="3AF06C46"/>
    <w:rsid w:val="3B5661B5"/>
    <w:rsid w:val="3B7BADF7"/>
    <w:rsid w:val="3C2B1CF8"/>
    <w:rsid w:val="3D0C768C"/>
    <w:rsid w:val="3D8239D8"/>
    <w:rsid w:val="3DDE798B"/>
    <w:rsid w:val="3E3D0697"/>
    <w:rsid w:val="3F0B51E4"/>
    <w:rsid w:val="3F2C2E18"/>
    <w:rsid w:val="3FFF2252"/>
    <w:rsid w:val="401E12EB"/>
    <w:rsid w:val="40717E72"/>
    <w:rsid w:val="40B318DD"/>
    <w:rsid w:val="413A0992"/>
    <w:rsid w:val="41742EE3"/>
    <w:rsid w:val="41752E1C"/>
    <w:rsid w:val="41DF1A49"/>
    <w:rsid w:val="42000957"/>
    <w:rsid w:val="420B79BC"/>
    <w:rsid w:val="4226008C"/>
    <w:rsid w:val="427207C8"/>
    <w:rsid w:val="42ED2E59"/>
    <w:rsid w:val="440A5E67"/>
    <w:rsid w:val="448C633B"/>
    <w:rsid w:val="44B2026F"/>
    <w:rsid w:val="45C94763"/>
    <w:rsid w:val="4601429D"/>
    <w:rsid w:val="4751155D"/>
    <w:rsid w:val="47697740"/>
    <w:rsid w:val="48BE46A7"/>
    <w:rsid w:val="48D97524"/>
    <w:rsid w:val="494E4D51"/>
    <w:rsid w:val="49833837"/>
    <w:rsid w:val="49B13FE0"/>
    <w:rsid w:val="4B106CD2"/>
    <w:rsid w:val="4B8A7AE6"/>
    <w:rsid w:val="4C9A5F3E"/>
    <w:rsid w:val="4D1D1521"/>
    <w:rsid w:val="4D395FE1"/>
    <w:rsid w:val="4DCF2012"/>
    <w:rsid w:val="4DFA0CDD"/>
    <w:rsid w:val="4E053FAB"/>
    <w:rsid w:val="4E9E2F35"/>
    <w:rsid w:val="4EEC64E9"/>
    <w:rsid w:val="4FD50B6A"/>
    <w:rsid w:val="500F0C3D"/>
    <w:rsid w:val="50674631"/>
    <w:rsid w:val="50C652E8"/>
    <w:rsid w:val="50D50389"/>
    <w:rsid w:val="51375E87"/>
    <w:rsid w:val="51EA731C"/>
    <w:rsid w:val="52392CEE"/>
    <w:rsid w:val="535C58B0"/>
    <w:rsid w:val="54015557"/>
    <w:rsid w:val="541B0D50"/>
    <w:rsid w:val="54E36F26"/>
    <w:rsid w:val="54F725E5"/>
    <w:rsid w:val="552F1B50"/>
    <w:rsid w:val="557A4A05"/>
    <w:rsid w:val="562E39E7"/>
    <w:rsid w:val="564535B7"/>
    <w:rsid w:val="56851D8D"/>
    <w:rsid w:val="56D82D31"/>
    <w:rsid w:val="56FC2048"/>
    <w:rsid w:val="57462A93"/>
    <w:rsid w:val="576F2E2E"/>
    <w:rsid w:val="57EB19AD"/>
    <w:rsid w:val="57FC2A48"/>
    <w:rsid w:val="581422A4"/>
    <w:rsid w:val="583523D1"/>
    <w:rsid w:val="58363A36"/>
    <w:rsid w:val="58823D7B"/>
    <w:rsid w:val="59212B72"/>
    <w:rsid w:val="59465D4C"/>
    <w:rsid w:val="596858D8"/>
    <w:rsid w:val="59C84C94"/>
    <w:rsid w:val="5A072110"/>
    <w:rsid w:val="5AE173F0"/>
    <w:rsid w:val="5B200D8D"/>
    <w:rsid w:val="5BAB4FC8"/>
    <w:rsid w:val="5C0E65CF"/>
    <w:rsid w:val="5C30736F"/>
    <w:rsid w:val="5C344FAE"/>
    <w:rsid w:val="5CC7686F"/>
    <w:rsid w:val="5D493CCC"/>
    <w:rsid w:val="5D6D3A74"/>
    <w:rsid w:val="5E8003DD"/>
    <w:rsid w:val="5EFFE5AD"/>
    <w:rsid w:val="5FA32532"/>
    <w:rsid w:val="5FAB14C4"/>
    <w:rsid w:val="5FC57EDF"/>
    <w:rsid w:val="5FF14D4A"/>
    <w:rsid w:val="60623E27"/>
    <w:rsid w:val="61680E55"/>
    <w:rsid w:val="616B3DDF"/>
    <w:rsid w:val="62070BC1"/>
    <w:rsid w:val="62423878"/>
    <w:rsid w:val="626D28D2"/>
    <w:rsid w:val="628A6975"/>
    <w:rsid w:val="62F2644C"/>
    <w:rsid w:val="63936210"/>
    <w:rsid w:val="64DC0D59"/>
    <w:rsid w:val="65EE4F62"/>
    <w:rsid w:val="661160A9"/>
    <w:rsid w:val="66B62874"/>
    <w:rsid w:val="66D01090"/>
    <w:rsid w:val="675400CE"/>
    <w:rsid w:val="67873294"/>
    <w:rsid w:val="696542C2"/>
    <w:rsid w:val="697D04EB"/>
    <w:rsid w:val="69895823"/>
    <w:rsid w:val="69E06C7A"/>
    <w:rsid w:val="6A1770C9"/>
    <w:rsid w:val="6A24218B"/>
    <w:rsid w:val="6A5862CF"/>
    <w:rsid w:val="6AD518AB"/>
    <w:rsid w:val="6B1E6497"/>
    <w:rsid w:val="6B7B5694"/>
    <w:rsid w:val="6B93515D"/>
    <w:rsid w:val="6BA10C56"/>
    <w:rsid w:val="6C120FC7"/>
    <w:rsid w:val="6C290F57"/>
    <w:rsid w:val="6C2E403A"/>
    <w:rsid w:val="6C8B768D"/>
    <w:rsid w:val="6CB9045A"/>
    <w:rsid w:val="6CFF3FF8"/>
    <w:rsid w:val="6D083D17"/>
    <w:rsid w:val="6D180D54"/>
    <w:rsid w:val="6D4A025B"/>
    <w:rsid w:val="6D7F65B9"/>
    <w:rsid w:val="6D8E1A1A"/>
    <w:rsid w:val="6DC71DFE"/>
    <w:rsid w:val="6DEB5D1C"/>
    <w:rsid w:val="6E0C2DE7"/>
    <w:rsid w:val="6E887136"/>
    <w:rsid w:val="6E8D2498"/>
    <w:rsid w:val="6F97486B"/>
    <w:rsid w:val="6FF72EC5"/>
    <w:rsid w:val="70534516"/>
    <w:rsid w:val="70C57082"/>
    <w:rsid w:val="71014E29"/>
    <w:rsid w:val="71D67B21"/>
    <w:rsid w:val="71EF2F07"/>
    <w:rsid w:val="722D0B45"/>
    <w:rsid w:val="7284292B"/>
    <w:rsid w:val="72FF4034"/>
    <w:rsid w:val="732734F5"/>
    <w:rsid w:val="73B01FEE"/>
    <w:rsid w:val="74607AA0"/>
    <w:rsid w:val="74FB9118"/>
    <w:rsid w:val="7562D789"/>
    <w:rsid w:val="765E7F92"/>
    <w:rsid w:val="76CA1D50"/>
    <w:rsid w:val="76F438EE"/>
    <w:rsid w:val="77A83410"/>
    <w:rsid w:val="77DE434D"/>
    <w:rsid w:val="77F331E8"/>
    <w:rsid w:val="7834215B"/>
    <w:rsid w:val="792F1081"/>
    <w:rsid w:val="793E2F2D"/>
    <w:rsid w:val="794753EE"/>
    <w:rsid w:val="79603D71"/>
    <w:rsid w:val="79BA3054"/>
    <w:rsid w:val="79BCC199"/>
    <w:rsid w:val="7A736AB5"/>
    <w:rsid w:val="7A796401"/>
    <w:rsid w:val="7AB249C5"/>
    <w:rsid w:val="7B9F2135"/>
    <w:rsid w:val="7BD7DF7B"/>
    <w:rsid w:val="7CC11575"/>
    <w:rsid w:val="7CD03BB5"/>
    <w:rsid w:val="7CE10383"/>
    <w:rsid w:val="7EB669ED"/>
    <w:rsid w:val="7FC94565"/>
    <w:rsid w:val="7FCAED11"/>
    <w:rsid w:val="7FF701BC"/>
    <w:rsid w:val="8DDBB57E"/>
    <w:rsid w:val="9976BDE5"/>
    <w:rsid w:val="B4D978A5"/>
    <w:rsid w:val="CDBFC1AD"/>
    <w:rsid w:val="DEE72CC2"/>
    <w:rsid w:val="DF1A2FCF"/>
    <w:rsid w:val="DFF1BCD2"/>
    <w:rsid w:val="E77E1DE4"/>
    <w:rsid w:val="EB7D6D09"/>
    <w:rsid w:val="EF376256"/>
    <w:rsid w:val="EFF71FB5"/>
    <w:rsid w:val="FC7FEA5F"/>
    <w:rsid w:val="FDF82CC2"/>
    <w:rsid w:val="FE190D2D"/>
    <w:rsid w:val="FEF7E4DF"/>
    <w:rsid w:val="FF1F51A7"/>
    <w:rsid w:val="FF77B42C"/>
    <w:rsid w:val="FFD55C40"/>
    <w:rsid w:val="FFEDDC1C"/>
    <w:rsid w:val="FFFD5FAC"/>
    <w:rsid w:val="FFFE6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unhideWhenUsed/>
    <w:qFormat/>
    <w:uiPriority w:val="99"/>
    <w:pPr>
      <w:jc w:val="left"/>
    </w:pPr>
    <w:rPr>
      <w:snapToGrid w:val="0"/>
      <w:szCs w:val="20"/>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脚 Char"/>
    <w:basedOn w:val="9"/>
    <w:link w:val="6"/>
    <w:qFormat/>
    <w:uiPriority w:val="0"/>
    <w:rPr>
      <w:kern w:val="2"/>
      <w:sz w:val="18"/>
      <w:szCs w:val="18"/>
    </w:rPr>
  </w:style>
  <w:style w:type="character" w:customStyle="1" w:styleId="13">
    <w:name w:val="页眉 Char"/>
    <w:basedOn w:val="9"/>
    <w:link w:val="7"/>
    <w:qFormat/>
    <w:uiPriority w:val="0"/>
    <w:rPr>
      <w:kern w:val="2"/>
      <w:sz w:val="18"/>
      <w:szCs w:val="18"/>
    </w:rPr>
  </w:style>
  <w:style w:type="paragraph" w:customStyle="1" w:styleId="14">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1522</Characters>
  <Lines>12</Lines>
  <Paragraphs>3</Paragraphs>
  <TotalTime>723</TotalTime>
  <ScaleCrop>false</ScaleCrop>
  <LinksUpToDate>false</LinksUpToDate>
  <CharactersWithSpaces>1785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2020-12-09T09:55:00Z</dcterms:created>
  <dc:creator>张明蕾</dc:creator>
  <cp:lastModifiedBy>dell</cp:lastModifiedBy>
  <cp:lastPrinted>2025-07-29T22:46:00Z</cp:lastPrinted>
  <dcterms:modified xsi:type="dcterms:W3CDTF">2026-02-06T01:51:11Z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081D54934EC741EF9795E1D5F65510B9</vt:lpwstr>
  </property>
  <property fmtid="{D5CDD505-2E9C-101B-9397-08002B2CF9AE}" pid="4" name="KSOTemplateDocerSaveRecord">
    <vt:lpwstr>eyJoZGlkIjoiMzU4Y2IxYWRjN2EzMDcyYTNjZmRhN2U4ZWRiYWRmNGEiLCJ1c2VySWQiOiI1MTk5NDE2ODYifQ==</vt:lpwstr>
  </property>
</Properties>
</file>