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CCED98">
      <w:pPr>
        <w:spacing w:line="360" w:lineRule="auto"/>
      </w:pPr>
    </w:p>
    <w:p w14:paraId="6B8F1B46">
      <w:pPr>
        <w:spacing w:line="360" w:lineRule="auto"/>
      </w:pPr>
    </w:p>
    <w:p w14:paraId="388E5739"/>
    <w:p w14:paraId="22A6AD1C">
      <w:pPr>
        <w:spacing w:line="360" w:lineRule="auto"/>
        <w:jc w:val="center"/>
        <w:rPr>
          <w:rFonts w:ascii="仿宋_GB2312"/>
        </w:rPr>
      </w:pPr>
    </w:p>
    <w:p w14:paraId="0705C7D3">
      <w:pPr>
        <w:autoSpaceDE w:val="0"/>
        <w:autoSpaceDN w:val="0"/>
        <w:jc w:val="center"/>
        <w:rPr>
          <w:rFonts w:ascii="Times New Roman" w:hAnsi="Times New Roman"/>
        </w:rPr>
      </w:pPr>
      <w:r>
        <w:rPr>
          <w:rFonts w:hint="eastAsia" w:ascii="Times New Roman" w:hAnsi="Times New Roman"/>
          <w:lang w:val="zh-CN"/>
        </w:rPr>
        <w:t>津滨审批二室准〔202</w:t>
      </w:r>
      <w:r>
        <w:rPr>
          <w:rFonts w:hint="eastAsia" w:ascii="Times New Roman" w:hAnsi="Times New Roman"/>
          <w:lang w:val="en-US" w:eastAsia="zh-CN"/>
        </w:rPr>
        <w:t>6</w:t>
      </w:r>
      <w:r>
        <w:rPr>
          <w:rFonts w:hint="eastAsia" w:ascii="Times New Roman" w:hAnsi="Times New Roman"/>
          <w:lang w:val="zh-CN"/>
        </w:rPr>
        <w:t>〕</w:t>
      </w:r>
      <w:r>
        <w:rPr>
          <w:rFonts w:hint="eastAsia" w:ascii="Times New Roman" w:hAnsi="Times New Roman"/>
          <w:lang w:val="en-US" w:eastAsia="zh-CN"/>
        </w:rPr>
        <w:t>49</w:t>
      </w:r>
      <w:r>
        <w:rPr>
          <w:rFonts w:hint="eastAsia" w:ascii="Times New Roman" w:hAnsi="Times New Roman"/>
          <w:lang w:val="zh-CN"/>
        </w:rPr>
        <w:t xml:space="preserve">号 </w:t>
      </w:r>
      <w:bookmarkStart w:id="0" w:name="_GoBack"/>
      <w:bookmarkEnd w:id="0"/>
    </w:p>
    <w:p w14:paraId="064A6A1E">
      <w:pPr>
        <w:spacing w:line="600" w:lineRule="exact"/>
        <w:jc w:val="center"/>
        <w:rPr>
          <w:rFonts w:ascii="Times New Roman" w:hAnsi="Times New Roman"/>
          <w:kern w:val="24"/>
        </w:rPr>
      </w:pPr>
      <w:r>
        <w:rPr>
          <w:rFonts w:hint="eastAsia" w:ascii="Times New Roman" w:hAnsi="Times New Roman"/>
          <w:kern w:val="24"/>
        </w:rPr>
        <w:t>（项目代码：2508-120116-89-05-604977）</w:t>
      </w:r>
    </w:p>
    <w:p w14:paraId="6F4EB294">
      <w:pPr>
        <w:pStyle w:val="8"/>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eastAsia="方正小标宋简体"/>
          <w:color w:val="000000"/>
          <w:sz w:val="44"/>
        </w:rPr>
      </w:pPr>
      <w:r>
        <w:rPr>
          <w:rFonts w:hint="eastAsia" w:eastAsia="方正小标宋简体"/>
          <w:color w:val="000000"/>
          <w:sz w:val="44"/>
        </w:rPr>
        <w:t>关于第五采油厂优质压井液重复利用工程</w:t>
      </w:r>
      <w:r>
        <w:rPr>
          <w:rFonts w:eastAsia="方正小标宋简体"/>
          <w:color w:val="000000"/>
          <w:sz w:val="44"/>
        </w:rPr>
        <w:t>环境影响报告表的批复</w:t>
      </w:r>
    </w:p>
    <w:p w14:paraId="25893819">
      <w:pPr>
        <w:keepNext w:val="0"/>
        <w:keepLines w:val="0"/>
        <w:pageBreakBefore w:val="0"/>
        <w:widowControl w:val="0"/>
        <w:kinsoku/>
        <w:wordWrap/>
        <w:overflowPunct/>
        <w:topLinePunct w:val="0"/>
        <w:autoSpaceDE/>
        <w:autoSpaceDN/>
        <w:bidi w:val="0"/>
        <w:snapToGrid/>
        <w:spacing w:line="240" w:lineRule="auto"/>
        <w:jc w:val="center"/>
        <w:rPr>
          <w:b/>
          <w:color w:val="000000"/>
          <w:sz w:val="44"/>
        </w:rPr>
      </w:pPr>
    </w:p>
    <w:p w14:paraId="431B49B1">
      <w:pPr>
        <w:pStyle w:val="8"/>
        <w:keepNext w:val="0"/>
        <w:keepLines w:val="0"/>
        <w:pageBreakBefore w:val="0"/>
        <w:widowControl w:val="0"/>
        <w:kinsoku/>
        <w:wordWrap/>
        <w:overflowPunct/>
        <w:topLinePunct w:val="0"/>
        <w:autoSpaceDE/>
        <w:autoSpaceDN/>
        <w:bidi w:val="0"/>
        <w:adjustRightInd w:val="0"/>
        <w:snapToGrid/>
        <w:spacing w:line="240" w:lineRule="auto"/>
        <w:textAlignment w:val="baseline"/>
        <w:rPr>
          <w:sz w:val="32"/>
          <w:szCs w:val="32"/>
        </w:rPr>
      </w:pPr>
      <w:r>
        <w:rPr>
          <w:rFonts w:hint="eastAsia"/>
          <w:sz w:val="32"/>
          <w:szCs w:val="32"/>
        </w:rPr>
        <w:t>中国石油天然气股份有限公司大港油田分公司</w:t>
      </w:r>
      <w:r>
        <w:rPr>
          <w:sz w:val="32"/>
          <w:szCs w:val="32"/>
        </w:rPr>
        <w:t>：</w:t>
      </w:r>
    </w:p>
    <w:p w14:paraId="09EBBCC1">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sz w:val="32"/>
          <w:szCs w:val="32"/>
        </w:rPr>
        <w:t>你</w:t>
      </w:r>
      <w:r>
        <w:rPr>
          <w:rFonts w:hint="eastAsia"/>
          <w:sz w:val="32"/>
          <w:szCs w:val="32"/>
        </w:rPr>
        <w:t>单位</w:t>
      </w:r>
      <w:r>
        <w:rPr>
          <w:sz w:val="32"/>
          <w:szCs w:val="32"/>
        </w:rPr>
        <w:t>呈报的</w:t>
      </w:r>
      <w:r>
        <w:rPr>
          <w:rFonts w:hint="eastAsia"/>
          <w:sz w:val="32"/>
          <w:szCs w:val="32"/>
        </w:rPr>
        <w:t>《</w:t>
      </w:r>
      <w:r>
        <w:rPr>
          <w:rFonts w:hint="eastAsia"/>
          <w:sz w:val="32"/>
          <w:szCs w:val="32"/>
          <w:lang w:eastAsia="zh-CN"/>
        </w:rPr>
        <w:t>第五采油厂优质压井液重复利用工程环境影响报告表的请示</w:t>
      </w:r>
      <w:r>
        <w:rPr>
          <w:rFonts w:hint="eastAsia"/>
          <w:sz w:val="32"/>
          <w:szCs w:val="32"/>
        </w:rPr>
        <w:t>》、联合泰泽环境科技发展有限公司</w:t>
      </w:r>
      <w:r>
        <w:rPr>
          <w:sz w:val="32"/>
          <w:szCs w:val="32"/>
        </w:rPr>
        <w:t>《</w:t>
      </w:r>
      <w:r>
        <w:rPr>
          <w:rFonts w:hint="eastAsia"/>
          <w:sz w:val="32"/>
          <w:szCs w:val="32"/>
        </w:rPr>
        <w:t>第五采油厂优质压井液重复利用工程</w:t>
      </w:r>
      <w:r>
        <w:rPr>
          <w:sz w:val="32"/>
          <w:szCs w:val="32"/>
        </w:rPr>
        <w:t>环境影响报告表》及其</w:t>
      </w:r>
      <w:r>
        <w:rPr>
          <w:rFonts w:hint="eastAsia"/>
          <w:sz w:val="32"/>
          <w:szCs w:val="32"/>
        </w:rPr>
        <w:t>相关材料</w:t>
      </w:r>
      <w:r>
        <w:rPr>
          <w:sz w:val="32"/>
          <w:szCs w:val="32"/>
        </w:rPr>
        <w:t>收悉。经研究，现批复如下：</w:t>
      </w:r>
    </w:p>
    <w:p w14:paraId="41CCB099">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highlight w:val="cyan"/>
        </w:rPr>
      </w:pPr>
      <w:r>
        <w:rPr>
          <w:sz w:val="32"/>
          <w:szCs w:val="32"/>
        </w:rPr>
        <w:t>一、</w:t>
      </w:r>
      <w:r>
        <w:rPr>
          <w:rFonts w:hint="eastAsia"/>
          <w:sz w:val="32"/>
          <w:szCs w:val="32"/>
        </w:rPr>
        <w:t>你单位拟</w:t>
      </w:r>
      <w:r>
        <w:rPr>
          <w:rFonts w:hint="eastAsia"/>
          <w:sz w:val="32"/>
          <w:szCs w:val="32"/>
          <w:lang w:eastAsia="zh-CN"/>
        </w:rPr>
        <w:t>在天津市滨海新区海滨街港西大道与港中路交口东侧1.6km建设</w:t>
      </w:r>
      <w:r>
        <w:rPr>
          <w:rFonts w:hint="eastAsia"/>
          <w:sz w:val="32"/>
          <w:szCs w:val="32"/>
        </w:rPr>
        <w:t>“第五采油厂优质压井液重复利用工程”（以下简称“项目”）。项目主要建设内容为：新建两个容积为50m</w:t>
      </w:r>
      <w:r>
        <w:rPr>
          <w:rFonts w:hint="eastAsia"/>
          <w:sz w:val="32"/>
          <w:szCs w:val="32"/>
          <w:vertAlign w:val="superscript"/>
        </w:rPr>
        <w:t>3</w:t>
      </w:r>
      <w:r>
        <w:rPr>
          <w:rFonts w:hint="eastAsia"/>
          <w:sz w:val="32"/>
          <w:szCs w:val="32"/>
        </w:rPr>
        <w:t>的沉降池和2个容积为40m</w:t>
      </w:r>
      <w:r>
        <w:rPr>
          <w:rFonts w:hint="eastAsia"/>
          <w:sz w:val="32"/>
          <w:szCs w:val="32"/>
          <w:vertAlign w:val="superscript"/>
        </w:rPr>
        <w:t>3</w:t>
      </w:r>
      <w:r>
        <w:rPr>
          <w:rFonts w:hint="eastAsia"/>
          <w:sz w:val="32"/>
          <w:szCs w:val="32"/>
        </w:rPr>
        <w:t>的储液配液池，</w:t>
      </w:r>
      <w:r>
        <w:rPr>
          <w:rFonts w:hint="eastAsia"/>
          <w:sz w:val="32"/>
          <w:szCs w:val="32"/>
          <w:lang w:eastAsia="zh-CN"/>
        </w:rPr>
        <w:t>采用</w:t>
      </w:r>
      <w:r>
        <w:rPr>
          <w:rFonts w:hint="eastAsia"/>
          <w:sz w:val="32"/>
          <w:szCs w:val="32"/>
        </w:rPr>
        <w:t>沉降、密度调节</w:t>
      </w:r>
      <w:r>
        <w:rPr>
          <w:rFonts w:hint="eastAsia"/>
          <w:sz w:val="32"/>
          <w:szCs w:val="32"/>
          <w:lang w:eastAsia="zh-CN"/>
        </w:rPr>
        <w:t>等工艺</w:t>
      </w:r>
      <w:r>
        <w:rPr>
          <w:rFonts w:hint="eastAsia"/>
          <w:sz w:val="32"/>
          <w:szCs w:val="32"/>
        </w:rPr>
        <w:t>，</w:t>
      </w:r>
      <w:r>
        <w:rPr>
          <w:rFonts w:hint="eastAsia"/>
          <w:sz w:val="32"/>
          <w:szCs w:val="32"/>
          <w:lang w:eastAsia="zh-CN"/>
        </w:rPr>
        <w:t>对</w:t>
      </w:r>
      <w:r>
        <w:rPr>
          <w:rFonts w:hint="eastAsia"/>
          <w:sz w:val="32"/>
          <w:szCs w:val="32"/>
        </w:rPr>
        <w:t>第五采油厂内部修井作业和压井作业过程产生的废弃高密度复合盐压井液</w:t>
      </w:r>
      <w:r>
        <w:rPr>
          <w:rFonts w:hint="eastAsia"/>
          <w:sz w:val="32"/>
          <w:szCs w:val="32"/>
          <w:lang w:eastAsia="zh-CN"/>
        </w:rPr>
        <w:t>进行回收，处理后重复利用。项目建成后</w:t>
      </w:r>
      <w:r>
        <w:rPr>
          <w:rFonts w:hint="eastAsia"/>
          <w:sz w:val="32"/>
          <w:szCs w:val="32"/>
        </w:rPr>
        <w:t>预计处理废压井液1000t/a。项目总投资</w:t>
      </w:r>
      <w:r>
        <w:rPr>
          <w:rFonts w:hint="eastAsia"/>
          <w:sz w:val="32"/>
          <w:szCs w:val="32"/>
          <w:lang w:val="en-US" w:eastAsia="zh-CN"/>
        </w:rPr>
        <w:t>250.65</w:t>
      </w:r>
      <w:r>
        <w:rPr>
          <w:rFonts w:hint="eastAsia"/>
          <w:sz w:val="32"/>
          <w:szCs w:val="32"/>
        </w:rPr>
        <w:t>万元人民币，其中环保投资</w:t>
      </w:r>
      <w:r>
        <w:rPr>
          <w:rFonts w:hint="eastAsia"/>
          <w:sz w:val="32"/>
          <w:szCs w:val="32"/>
          <w:lang w:val="en-US" w:eastAsia="zh-CN"/>
        </w:rPr>
        <w:t>16</w:t>
      </w:r>
      <w:r>
        <w:rPr>
          <w:rFonts w:hint="eastAsia"/>
          <w:sz w:val="32"/>
          <w:szCs w:val="32"/>
        </w:rPr>
        <w:t>万元人民币，约占总投资的</w:t>
      </w:r>
      <w:r>
        <w:rPr>
          <w:rFonts w:hint="eastAsia"/>
          <w:sz w:val="32"/>
          <w:szCs w:val="32"/>
          <w:lang w:val="en-US" w:eastAsia="zh-CN"/>
        </w:rPr>
        <w:t>6.38</w:t>
      </w:r>
      <w:r>
        <w:rPr>
          <w:rFonts w:hint="eastAsia"/>
          <w:sz w:val="32"/>
          <w:szCs w:val="32"/>
        </w:rPr>
        <w:t>%，预计于202</w:t>
      </w:r>
      <w:r>
        <w:rPr>
          <w:rFonts w:hint="eastAsia"/>
          <w:sz w:val="32"/>
          <w:szCs w:val="32"/>
          <w:lang w:val="en-US" w:eastAsia="zh-CN"/>
        </w:rPr>
        <w:t>6</w:t>
      </w:r>
      <w:r>
        <w:rPr>
          <w:rFonts w:hint="eastAsia"/>
          <w:sz w:val="32"/>
          <w:szCs w:val="32"/>
        </w:rPr>
        <w:t>年</w:t>
      </w:r>
      <w:r>
        <w:rPr>
          <w:rFonts w:hint="eastAsia"/>
          <w:sz w:val="32"/>
          <w:szCs w:val="32"/>
          <w:lang w:val="en-US" w:eastAsia="zh-CN"/>
        </w:rPr>
        <w:t>4</w:t>
      </w:r>
      <w:r>
        <w:rPr>
          <w:rFonts w:hint="eastAsia"/>
          <w:sz w:val="32"/>
          <w:szCs w:val="32"/>
        </w:rPr>
        <w:t>月竣工。</w:t>
      </w:r>
    </w:p>
    <w:p w14:paraId="5BA44ACD">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color w:val="auto"/>
          <w:sz w:val="32"/>
          <w:szCs w:val="32"/>
        </w:rPr>
        <w:t>20</w:t>
      </w:r>
      <w:r>
        <w:rPr>
          <w:rFonts w:hint="eastAsia"/>
          <w:color w:val="auto"/>
          <w:sz w:val="32"/>
          <w:szCs w:val="32"/>
        </w:rPr>
        <w:t>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1</w:t>
      </w:r>
      <w:r>
        <w:rPr>
          <w:color w:val="auto"/>
          <w:sz w:val="32"/>
          <w:szCs w:val="32"/>
        </w:rPr>
        <w:t>月</w:t>
      </w:r>
      <w:r>
        <w:rPr>
          <w:rFonts w:hint="eastAsia"/>
          <w:color w:val="auto"/>
          <w:sz w:val="32"/>
          <w:szCs w:val="32"/>
          <w:lang w:val="en-US" w:eastAsia="zh-CN"/>
        </w:rPr>
        <w:t>7</w:t>
      </w:r>
      <w:r>
        <w:rPr>
          <w:color w:val="auto"/>
          <w:sz w:val="32"/>
          <w:szCs w:val="32"/>
        </w:rPr>
        <w:t>日至</w:t>
      </w:r>
      <w:r>
        <w:rPr>
          <w:rFonts w:hint="eastAsia"/>
          <w:color w:val="auto"/>
          <w:sz w:val="32"/>
          <w:szCs w:val="32"/>
          <w:lang w:val="en-US" w:eastAsia="zh-CN"/>
        </w:rPr>
        <w:t>1</w:t>
      </w:r>
      <w:r>
        <w:rPr>
          <w:color w:val="auto"/>
          <w:sz w:val="32"/>
          <w:szCs w:val="32"/>
        </w:rPr>
        <w:t>月</w:t>
      </w:r>
      <w:r>
        <w:rPr>
          <w:rFonts w:hint="eastAsia"/>
          <w:color w:val="auto"/>
          <w:sz w:val="32"/>
          <w:szCs w:val="32"/>
          <w:lang w:val="en-US" w:eastAsia="zh-CN"/>
        </w:rPr>
        <w:t>13</w:t>
      </w:r>
      <w:r>
        <w:rPr>
          <w:color w:val="auto"/>
          <w:sz w:val="32"/>
          <w:szCs w:val="32"/>
        </w:rPr>
        <w:t>日，</w:t>
      </w:r>
      <w:r>
        <w:rPr>
          <w:sz w:val="32"/>
          <w:szCs w:val="32"/>
        </w:rPr>
        <w:t>我局将该项目受理情况进行公</w:t>
      </w:r>
      <w:r>
        <w:rPr>
          <w:color w:val="auto"/>
          <w:sz w:val="32"/>
          <w:szCs w:val="32"/>
        </w:rPr>
        <w:t>示；</w:t>
      </w:r>
      <w:r>
        <w:rPr>
          <w:rFonts w:hint="eastAsia"/>
          <w:color w:val="auto"/>
          <w:sz w:val="32"/>
          <w:szCs w:val="32"/>
        </w:rPr>
        <w:t>1</w:t>
      </w:r>
      <w:r>
        <w:rPr>
          <w:color w:val="auto"/>
          <w:sz w:val="32"/>
          <w:szCs w:val="32"/>
        </w:rPr>
        <w:t>月</w:t>
      </w:r>
      <w:r>
        <w:rPr>
          <w:rFonts w:hint="eastAsia"/>
          <w:color w:val="auto"/>
          <w:sz w:val="32"/>
          <w:szCs w:val="32"/>
          <w:lang w:val="en-US" w:eastAsia="zh-CN"/>
        </w:rPr>
        <w:t>22</w:t>
      </w:r>
      <w:r>
        <w:rPr>
          <w:rFonts w:hint="eastAsia"/>
          <w:color w:val="auto"/>
          <w:sz w:val="32"/>
          <w:szCs w:val="32"/>
        </w:rPr>
        <w:t>日至1月2</w:t>
      </w:r>
      <w:r>
        <w:rPr>
          <w:rFonts w:hint="eastAsia"/>
          <w:color w:val="auto"/>
          <w:sz w:val="32"/>
          <w:szCs w:val="32"/>
          <w:lang w:val="en-US" w:eastAsia="zh-CN"/>
        </w:rPr>
        <w:t>8</w:t>
      </w:r>
      <w:r>
        <w:rPr>
          <w:rFonts w:hint="eastAsia"/>
          <w:color w:val="auto"/>
          <w:sz w:val="32"/>
          <w:szCs w:val="32"/>
        </w:rPr>
        <w:t>日</w:t>
      </w:r>
      <w:r>
        <w:rPr>
          <w:sz w:val="32"/>
          <w:szCs w:val="32"/>
        </w:rPr>
        <w:t>，将该项目拟批复情况进行公示；</w:t>
      </w:r>
      <w:r>
        <w:rPr>
          <w:rFonts w:hint="eastAsia"/>
          <w:sz w:val="32"/>
          <w:szCs w:val="32"/>
        </w:rPr>
        <w:t>根据公众反馈意见情况、环评报告结论及其专家评审意见，在严格落实环评报告所提出的各项污染防治措施、确保各类污染物稳定达标的前提下，项目具备环境可行性。</w:t>
      </w:r>
    </w:p>
    <w:p w14:paraId="31438C8F">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二、项目建设期间，你单位应重点做好以下工作：</w:t>
      </w:r>
    </w:p>
    <w:p w14:paraId="158A7DF5">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严格贯彻《天津市大气污染防治条例》、《天津市建设工程文明施工管理规定》、《天津市环境噪声污染防治管理办法》等环保法规，落实对施工扬尘、噪声等的各项污染防治措施；施工场地固体垃圾应及时清运；废水妥善处置。</w:t>
      </w:r>
    </w:p>
    <w:p w14:paraId="31ADB8F9">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三、项目运营过程中，你单位应重点做好以下工作：</w:t>
      </w:r>
    </w:p>
    <w:p w14:paraId="3751192D">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1、本项目沉降池和储液配液池均加盖处理</w:t>
      </w:r>
      <w:r>
        <w:rPr>
          <w:rFonts w:hint="eastAsia"/>
          <w:sz w:val="32"/>
          <w:szCs w:val="32"/>
          <w:lang w:eastAsia="zh-CN"/>
        </w:rPr>
        <w:t>，废压井液在厂区内的卸料、输送等均通过密闭管道进行。</w:t>
      </w:r>
      <w:r>
        <w:rPr>
          <w:rFonts w:hint="eastAsia"/>
          <w:sz w:val="32"/>
          <w:szCs w:val="32"/>
        </w:rPr>
        <w:t>项目应采取有效措施降低废气无组织排放，确保各项大气污染物浓度</w:t>
      </w:r>
      <w:r>
        <w:rPr>
          <w:rFonts w:hint="eastAsia"/>
          <w:sz w:val="32"/>
          <w:szCs w:val="32"/>
          <w:lang w:eastAsia="zh-CN"/>
        </w:rPr>
        <w:t>厂房界、</w:t>
      </w:r>
      <w:r>
        <w:rPr>
          <w:rFonts w:hint="eastAsia"/>
          <w:sz w:val="32"/>
          <w:szCs w:val="32"/>
        </w:rPr>
        <w:t>厂界达标。</w:t>
      </w:r>
    </w:p>
    <w:p w14:paraId="37A78E7B">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color w:val="auto"/>
          <w:sz w:val="32"/>
          <w:szCs w:val="32"/>
        </w:rPr>
      </w:pPr>
      <w:r>
        <w:rPr>
          <w:rFonts w:hint="eastAsia"/>
          <w:color w:val="auto"/>
          <w:sz w:val="32"/>
          <w:szCs w:val="32"/>
        </w:rPr>
        <w:t>2、本项目生产过程不产生废水；生活污水定期清掏处理。</w:t>
      </w:r>
    </w:p>
    <w:p w14:paraId="04FED374">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3、需加强日常管理，合理布局，选用低噪声设备，对产噪设备实施减振、消声、隔声等措施，采取合理降噪装置，确保厂界噪声达标。</w:t>
      </w:r>
    </w:p>
    <w:p w14:paraId="7A183042">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4、做好各类固体废物的收集、贮存、运输和处置，做到资源化、减量化、无害化。项目</w:t>
      </w:r>
      <w:r>
        <w:rPr>
          <w:rFonts w:hint="eastAsia"/>
          <w:color w:val="auto"/>
          <w:sz w:val="32"/>
          <w:szCs w:val="32"/>
        </w:rPr>
        <w:t>油泥砂、废润滑油、废油桶、含油</w:t>
      </w:r>
      <w:r>
        <w:rPr>
          <w:rFonts w:hint="eastAsia"/>
          <w:color w:val="auto"/>
          <w:sz w:val="32"/>
          <w:szCs w:val="32"/>
          <w:lang w:eastAsia="zh-CN"/>
        </w:rPr>
        <w:t>沾染废物</w:t>
      </w:r>
      <w:r>
        <w:rPr>
          <w:rFonts w:hint="eastAsia"/>
          <w:sz w:val="32"/>
          <w:szCs w:val="32"/>
        </w:rPr>
        <w:t>等危险废物交由有资质的单位进行处理处置；以上危险废物需按照《危险废物收集 贮存 运输技术规范》（HJ2025-2012）进行收集、贮存及运输；危险废物暂存库应按照《危险废物贮存污染控制标准》（GB18597-2023）进行</w:t>
      </w:r>
      <w:r>
        <w:rPr>
          <w:rFonts w:hint="eastAsia"/>
          <w:sz w:val="32"/>
          <w:szCs w:val="32"/>
          <w:lang w:eastAsia="zh-CN"/>
        </w:rPr>
        <w:t>建设和</w:t>
      </w:r>
      <w:r>
        <w:rPr>
          <w:rFonts w:hint="eastAsia"/>
          <w:sz w:val="32"/>
          <w:szCs w:val="32"/>
        </w:rPr>
        <w:t>管理。废包装材料</w:t>
      </w:r>
      <w:r>
        <w:rPr>
          <w:rFonts w:hint="eastAsia"/>
          <w:sz w:val="32"/>
          <w:szCs w:val="32"/>
          <w:lang w:eastAsia="zh-CN"/>
        </w:rPr>
        <w:t>由</w:t>
      </w:r>
      <w:r>
        <w:rPr>
          <w:rFonts w:hint="eastAsia"/>
          <w:sz w:val="32"/>
          <w:szCs w:val="32"/>
        </w:rPr>
        <w:t>物资回收部门回收或委托一般固废处置单位处理</w:t>
      </w:r>
      <w:r>
        <w:rPr>
          <w:rFonts w:hint="eastAsia"/>
          <w:color w:val="auto"/>
          <w:sz w:val="32"/>
          <w:szCs w:val="32"/>
        </w:rPr>
        <w:t>；</w:t>
      </w:r>
      <w:r>
        <w:rPr>
          <w:rFonts w:hint="eastAsia"/>
          <w:sz w:val="32"/>
          <w:szCs w:val="32"/>
        </w:rPr>
        <w:t>生活垃圾交由城管委清运处置。</w:t>
      </w:r>
    </w:p>
    <w:p w14:paraId="730056C0">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5、根据“源头防控、分区防治、污染监控、应急响应”的原则，按照环评报告表要求采取严格的防渗、防泄漏、防腐蚀等措施，严禁对地下水、土壤产生影响。</w:t>
      </w:r>
    </w:p>
    <w:p w14:paraId="55F5F813">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6、严格落实报告表中提出的事故防范及应急处理措施，制定有效的环境风险事故应急预案并向区生态环境局备案，强化日常管理，杜绝发生环境事故和次生环境事故，防止事故造成的环境污染。</w:t>
      </w:r>
    </w:p>
    <w:p w14:paraId="0A16ABAF">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rPr>
        <w:t>7、落实报告表提出的监测计划，按照相关规定开展定期监测。</w:t>
      </w:r>
    </w:p>
    <w:p w14:paraId="1080735A">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lang w:eastAsia="zh-CN"/>
        </w:rPr>
        <w:t>四</w:t>
      </w:r>
      <w:r>
        <w:rPr>
          <w:rFonts w:hint="eastAsia"/>
          <w:sz w:val="32"/>
          <w:szCs w:val="32"/>
        </w:rPr>
        <w:t>、项目建设应严格执行环境保护设施与主体工程同时设计、同时施工、同时投产使用的“三同时”管理制度。项目应按规定标准和程序开展环境保护验收，经验收合格后方可正式投入运营。若建设项目发生重大变动，需重新报批建设项目的环境影响评价文件。你单位应在启动生产设施或者在实际排污之前按照法律法规要求做好排污许可管理相关工作。</w:t>
      </w:r>
    </w:p>
    <w:p w14:paraId="1D4CA695">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sz w:val="32"/>
          <w:szCs w:val="32"/>
        </w:rPr>
      </w:pPr>
      <w:r>
        <w:rPr>
          <w:rFonts w:hint="eastAsia"/>
          <w:sz w:val="32"/>
          <w:szCs w:val="32"/>
          <w:lang w:eastAsia="zh-CN"/>
        </w:rPr>
        <w:t>五</w:t>
      </w:r>
      <w:r>
        <w:rPr>
          <w:rFonts w:hint="eastAsia"/>
          <w:sz w:val="32"/>
          <w:szCs w:val="32"/>
        </w:rPr>
        <w:t>、项目应执行以下标准：</w:t>
      </w:r>
    </w:p>
    <w:p w14:paraId="0E8DBB87">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rFonts w:hint="eastAsia" w:eastAsia="仿宋_GB2312"/>
          <w:color w:val="auto"/>
          <w:sz w:val="32"/>
          <w:szCs w:val="32"/>
          <w:lang w:eastAsia="zh-CN"/>
        </w:rPr>
      </w:pPr>
      <w:r>
        <w:rPr>
          <w:rFonts w:hint="eastAsia"/>
          <w:color w:val="auto"/>
          <w:sz w:val="32"/>
          <w:szCs w:val="32"/>
        </w:rPr>
        <w:t>1、《建筑施工噪声排放标准》（GB12523-2025）</w:t>
      </w:r>
      <w:r>
        <w:rPr>
          <w:rFonts w:hint="eastAsia"/>
          <w:color w:val="auto"/>
          <w:sz w:val="32"/>
          <w:szCs w:val="32"/>
          <w:lang w:eastAsia="zh-CN"/>
        </w:rPr>
        <w:t>；</w:t>
      </w:r>
    </w:p>
    <w:p w14:paraId="74F4965F">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rFonts w:hint="eastAsia" w:eastAsia="仿宋_GB2312"/>
          <w:color w:val="auto"/>
          <w:sz w:val="32"/>
          <w:szCs w:val="32"/>
          <w:lang w:eastAsia="zh-CN"/>
        </w:rPr>
      </w:pPr>
      <w:r>
        <w:rPr>
          <w:rFonts w:hint="eastAsia"/>
          <w:color w:val="auto"/>
          <w:sz w:val="32"/>
          <w:szCs w:val="32"/>
        </w:rPr>
        <w:t>2</w:t>
      </w:r>
      <w:r>
        <w:rPr>
          <w:rFonts w:hint="eastAsia"/>
          <w:color w:val="auto"/>
          <w:sz w:val="32"/>
          <w:szCs w:val="32"/>
          <w:lang w:eastAsia="zh-CN"/>
        </w:rPr>
        <w:t>、</w:t>
      </w:r>
      <w:r>
        <w:rPr>
          <w:rFonts w:hint="eastAsia"/>
          <w:color w:val="auto"/>
          <w:sz w:val="32"/>
          <w:szCs w:val="32"/>
        </w:rPr>
        <w:t>《工业企业挥发性有机物排放控制标准》（DB12/524-2020）</w:t>
      </w:r>
      <w:r>
        <w:rPr>
          <w:rFonts w:hint="eastAsia"/>
          <w:color w:val="auto"/>
          <w:sz w:val="32"/>
          <w:szCs w:val="32"/>
          <w:lang w:eastAsia="zh-CN"/>
        </w:rPr>
        <w:t>；</w:t>
      </w:r>
    </w:p>
    <w:p w14:paraId="672AC482">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rFonts w:hint="eastAsia"/>
          <w:color w:val="auto"/>
          <w:sz w:val="32"/>
          <w:szCs w:val="32"/>
        </w:rPr>
      </w:pPr>
      <w:r>
        <w:rPr>
          <w:rFonts w:hint="eastAsia"/>
          <w:color w:val="auto"/>
          <w:sz w:val="32"/>
          <w:szCs w:val="32"/>
          <w:lang w:val="en-US" w:eastAsia="zh-CN"/>
        </w:rPr>
        <w:t>3</w:t>
      </w:r>
      <w:r>
        <w:rPr>
          <w:rFonts w:hint="eastAsia"/>
          <w:color w:val="auto"/>
          <w:sz w:val="32"/>
          <w:szCs w:val="32"/>
        </w:rPr>
        <w:t>、《大气污染物综合排放标准》（GB16297-1996）；</w:t>
      </w:r>
    </w:p>
    <w:p w14:paraId="7661CA75">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rFonts w:hint="eastAsia"/>
          <w:color w:val="auto"/>
          <w:sz w:val="32"/>
          <w:szCs w:val="32"/>
        </w:rPr>
      </w:pPr>
      <w:r>
        <w:rPr>
          <w:rFonts w:hint="eastAsia"/>
          <w:color w:val="auto"/>
          <w:sz w:val="32"/>
          <w:szCs w:val="32"/>
        </w:rPr>
        <w:t>4、《恶臭污染物排放标准》（DB12/059-2018）；</w:t>
      </w:r>
    </w:p>
    <w:p w14:paraId="693143E9">
      <w:pPr>
        <w:pStyle w:val="8"/>
        <w:keepNext w:val="0"/>
        <w:keepLines w:val="0"/>
        <w:pageBreakBefore w:val="0"/>
        <w:widowControl w:val="0"/>
        <w:kinsoku/>
        <w:wordWrap/>
        <w:overflowPunct/>
        <w:topLinePunct w:val="0"/>
        <w:autoSpaceDE/>
        <w:autoSpaceDN/>
        <w:bidi w:val="0"/>
        <w:adjustRightInd w:val="0"/>
        <w:snapToGrid/>
        <w:spacing w:line="240" w:lineRule="auto"/>
        <w:ind w:left="640" w:leftChars="200" w:firstLine="16" w:firstLineChars="5"/>
        <w:textAlignment w:val="baseline"/>
        <w:rPr>
          <w:rFonts w:hint="eastAsia"/>
          <w:color w:val="auto"/>
          <w:sz w:val="32"/>
          <w:szCs w:val="32"/>
        </w:rPr>
      </w:pPr>
      <w:r>
        <w:rPr>
          <w:rFonts w:hint="eastAsia"/>
          <w:color w:val="auto"/>
          <w:sz w:val="32"/>
          <w:szCs w:val="32"/>
          <w:lang w:val="en-US" w:eastAsia="zh-CN"/>
        </w:rPr>
        <w:t>5</w:t>
      </w:r>
      <w:r>
        <w:rPr>
          <w:rFonts w:hint="eastAsia"/>
          <w:color w:val="auto"/>
          <w:sz w:val="32"/>
          <w:szCs w:val="32"/>
        </w:rPr>
        <w:t>、《工业企业厂界环境噪声排放标准》(GB12348-2008)</w:t>
      </w:r>
      <w:r>
        <w:rPr>
          <w:rFonts w:hint="eastAsia"/>
          <w:color w:val="auto"/>
          <w:sz w:val="32"/>
          <w:szCs w:val="32"/>
          <w:lang w:val="en-US" w:eastAsia="zh-CN"/>
        </w:rPr>
        <w:t>2</w:t>
      </w:r>
      <w:r>
        <w:rPr>
          <w:rFonts w:hint="eastAsia"/>
          <w:color w:val="auto"/>
          <w:sz w:val="32"/>
          <w:szCs w:val="32"/>
        </w:rPr>
        <w:t>类；</w:t>
      </w:r>
    </w:p>
    <w:p w14:paraId="102F42CC">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color w:val="auto"/>
          <w:sz w:val="32"/>
          <w:szCs w:val="32"/>
        </w:rPr>
      </w:pPr>
      <w:r>
        <w:rPr>
          <w:rFonts w:hint="eastAsia"/>
          <w:color w:val="auto"/>
          <w:sz w:val="32"/>
          <w:szCs w:val="32"/>
          <w:lang w:val="en-US" w:eastAsia="zh-CN"/>
        </w:rPr>
        <w:t>6</w:t>
      </w:r>
      <w:r>
        <w:rPr>
          <w:rFonts w:hint="eastAsia"/>
          <w:color w:val="auto"/>
          <w:sz w:val="32"/>
          <w:szCs w:val="32"/>
        </w:rPr>
        <w:t xml:space="preserve">、《危险废物贮存污染控制标准》（GB18597-2023）； </w:t>
      </w:r>
    </w:p>
    <w:p w14:paraId="276B2293">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color w:val="auto"/>
          <w:sz w:val="32"/>
          <w:szCs w:val="32"/>
        </w:rPr>
      </w:pPr>
      <w:r>
        <w:rPr>
          <w:rFonts w:hint="eastAsia"/>
          <w:color w:val="auto"/>
          <w:sz w:val="32"/>
          <w:szCs w:val="32"/>
          <w:lang w:val="en-US" w:eastAsia="zh-CN"/>
        </w:rPr>
        <w:t>7</w:t>
      </w:r>
      <w:r>
        <w:rPr>
          <w:rFonts w:hint="eastAsia"/>
          <w:color w:val="auto"/>
          <w:sz w:val="32"/>
          <w:szCs w:val="32"/>
        </w:rPr>
        <w:t>、《危险废物收集 贮存 运输技术规范》（HJ2025-2012）；</w:t>
      </w:r>
    </w:p>
    <w:p w14:paraId="4FC4B4FD">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color w:val="auto"/>
          <w:sz w:val="32"/>
          <w:szCs w:val="32"/>
        </w:rPr>
      </w:pPr>
      <w:r>
        <w:rPr>
          <w:rFonts w:hint="eastAsia"/>
          <w:color w:val="auto"/>
          <w:sz w:val="32"/>
          <w:szCs w:val="32"/>
          <w:lang w:val="en-US" w:eastAsia="zh-CN"/>
        </w:rPr>
        <w:t>8</w:t>
      </w:r>
      <w:r>
        <w:rPr>
          <w:rFonts w:hint="eastAsia"/>
          <w:color w:val="auto"/>
          <w:sz w:val="32"/>
          <w:szCs w:val="32"/>
        </w:rPr>
        <w:t>、《一般工业固体废物贮存和填埋污染控制标准》（GB18599-2020）。</w:t>
      </w:r>
    </w:p>
    <w:p w14:paraId="7B93788B">
      <w:pPr>
        <w:pStyle w:val="8"/>
        <w:keepNext w:val="0"/>
        <w:keepLines w:val="0"/>
        <w:pageBreakBefore w:val="0"/>
        <w:widowControl w:val="0"/>
        <w:kinsoku/>
        <w:wordWrap/>
        <w:overflowPunct/>
        <w:topLinePunct w:val="0"/>
        <w:autoSpaceDE/>
        <w:autoSpaceDN/>
        <w:bidi w:val="0"/>
        <w:adjustRightInd w:val="0"/>
        <w:snapToGrid/>
        <w:spacing w:line="240" w:lineRule="auto"/>
        <w:ind w:firstLine="662" w:firstLineChars="207"/>
        <w:textAlignment w:val="baseline"/>
        <w:rPr>
          <w:color w:val="auto"/>
          <w:sz w:val="32"/>
          <w:szCs w:val="32"/>
        </w:rPr>
      </w:pPr>
      <w:r>
        <w:rPr>
          <w:rFonts w:hint="eastAsia"/>
          <w:color w:val="auto"/>
          <w:sz w:val="32"/>
          <w:szCs w:val="32"/>
        </w:rPr>
        <w:t>此复</w:t>
      </w:r>
    </w:p>
    <w:p w14:paraId="09B795C8">
      <w:pPr>
        <w:pStyle w:val="8"/>
        <w:spacing w:line="520" w:lineRule="exact"/>
        <w:ind w:firstLine="662" w:firstLineChars="207"/>
        <w:rPr>
          <w:color w:val="auto"/>
          <w:sz w:val="32"/>
          <w:szCs w:val="32"/>
        </w:rPr>
      </w:pPr>
    </w:p>
    <w:p w14:paraId="6BF1AA2A">
      <w:pPr>
        <w:pStyle w:val="8"/>
        <w:spacing w:line="520" w:lineRule="exact"/>
        <w:ind w:firstLine="662" w:firstLineChars="207"/>
        <w:rPr>
          <w:rFonts w:hint="eastAsia"/>
          <w:sz w:val="32"/>
          <w:szCs w:val="32"/>
        </w:rPr>
      </w:pPr>
      <w:r>
        <w:rPr>
          <w:rFonts w:hint="eastAsia"/>
          <w:sz w:val="32"/>
          <w:szCs w:val="32"/>
        </w:rPr>
        <w:t xml:space="preserve"> </w:t>
      </w:r>
    </w:p>
    <w:p w14:paraId="0B3A77DA">
      <w:pPr>
        <w:pStyle w:val="8"/>
        <w:spacing w:line="520" w:lineRule="exact"/>
        <w:ind w:firstLine="662" w:firstLineChars="207"/>
        <w:rPr>
          <w:rFonts w:hint="eastAsia"/>
          <w:sz w:val="32"/>
          <w:szCs w:val="32"/>
        </w:rPr>
      </w:pPr>
      <w:r>
        <w:rPr>
          <w:rFonts w:hint="eastAsia"/>
          <w:sz w:val="32"/>
          <w:szCs w:val="32"/>
        </w:rPr>
        <w:t xml:space="preserve"> </w:t>
      </w:r>
    </w:p>
    <w:p w14:paraId="6FBDD503">
      <w:pPr>
        <w:pStyle w:val="8"/>
        <w:spacing w:line="520" w:lineRule="exact"/>
        <w:ind w:firstLine="662" w:firstLineChars="207"/>
        <w:rPr>
          <w:rFonts w:hint="eastAsia"/>
          <w:sz w:val="32"/>
          <w:szCs w:val="32"/>
        </w:rPr>
      </w:pPr>
      <w:r>
        <w:rPr>
          <w:rFonts w:hint="eastAsia"/>
          <w:sz w:val="32"/>
          <w:szCs w:val="32"/>
        </w:rPr>
        <w:t xml:space="preserve">                      202</w:t>
      </w:r>
      <w:r>
        <w:rPr>
          <w:rFonts w:hint="eastAsia"/>
          <w:sz w:val="32"/>
          <w:szCs w:val="32"/>
          <w:lang w:val="en-US" w:eastAsia="zh-CN"/>
        </w:rPr>
        <w:t>6</w:t>
      </w:r>
      <w:r>
        <w:rPr>
          <w:rFonts w:hint="eastAsia"/>
          <w:sz w:val="32"/>
          <w:szCs w:val="32"/>
        </w:rPr>
        <w:t>年1月</w:t>
      </w:r>
      <w:r>
        <w:rPr>
          <w:rFonts w:hint="eastAsia"/>
          <w:sz w:val="32"/>
          <w:szCs w:val="32"/>
          <w:lang w:val="en-US" w:eastAsia="zh-CN"/>
        </w:rPr>
        <w:t>29</w:t>
      </w:r>
      <w:r>
        <w:rPr>
          <w:rFonts w:hint="eastAsia"/>
          <w:sz w:val="32"/>
          <w:szCs w:val="32"/>
        </w:rPr>
        <w:t xml:space="preserve">日   </w:t>
      </w:r>
    </w:p>
    <w:p w14:paraId="42F5A0FE">
      <w:pPr>
        <w:pStyle w:val="8"/>
        <w:spacing w:line="520" w:lineRule="exact"/>
        <w:ind w:firstLine="662" w:firstLineChars="207"/>
        <w:rPr>
          <w:rFonts w:hint="eastAsia"/>
          <w:sz w:val="32"/>
          <w:szCs w:val="32"/>
        </w:rPr>
      </w:pPr>
    </w:p>
    <w:p w14:paraId="10E822F9">
      <w:pPr>
        <w:pStyle w:val="8"/>
        <w:spacing w:line="520" w:lineRule="exact"/>
        <w:ind w:firstLine="662" w:firstLineChars="207"/>
        <w:rPr>
          <w:rFonts w:hint="eastAsia"/>
          <w:sz w:val="32"/>
          <w:szCs w:val="32"/>
        </w:rPr>
      </w:pPr>
    </w:p>
    <w:p w14:paraId="243AC33C">
      <w:pPr>
        <w:pStyle w:val="8"/>
        <w:spacing w:line="520" w:lineRule="exact"/>
        <w:ind w:firstLine="662" w:firstLineChars="207"/>
        <w:rPr>
          <w:rFonts w:hint="eastAsia"/>
          <w:sz w:val="32"/>
          <w:szCs w:val="32"/>
        </w:rPr>
      </w:pPr>
    </w:p>
    <w:p w14:paraId="0844CBEF">
      <w:pPr>
        <w:pStyle w:val="8"/>
        <w:spacing w:line="520" w:lineRule="exact"/>
        <w:ind w:firstLine="662" w:firstLineChars="207"/>
        <w:rPr>
          <w:rFonts w:hint="eastAsia"/>
          <w:sz w:val="32"/>
          <w:szCs w:val="32"/>
        </w:rPr>
      </w:pPr>
    </w:p>
    <w:p w14:paraId="27861A87">
      <w:pPr>
        <w:pStyle w:val="8"/>
        <w:spacing w:line="520" w:lineRule="exact"/>
        <w:ind w:firstLine="662" w:firstLineChars="207"/>
        <w:rPr>
          <w:rFonts w:hint="eastAsia"/>
          <w:sz w:val="32"/>
          <w:szCs w:val="32"/>
        </w:rPr>
      </w:pPr>
    </w:p>
    <w:p w14:paraId="0DB3CE00">
      <w:pPr>
        <w:pStyle w:val="8"/>
        <w:spacing w:line="520" w:lineRule="exact"/>
        <w:ind w:firstLine="662" w:firstLineChars="207"/>
        <w:rPr>
          <w:rFonts w:hint="eastAsia"/>
          <w:sz w:val="32"/>
          <w:szCs w:val="32"/>
        </w:rPr>
      </w:pPr>
    </w:p>
    <w:p w14:paraId="04DD6526">
      <w:pPr>
        <w:pStyle w:val="8"/>
        <w:spacing w:line="520" w:lineRule="exact"/>
        <w:ind w:firstLine="662" w:firstLineChars="207"/>
        <w:rPr>
          <w:sz w:val="32"/>
          <w:szCs w:val="32"/>
        </w:rPr>
      </w:pPr>
    </w:p>
    <w:p w14:paraId="338F875B">
      <w:r>
        <w:rPr>
          <w:rFonts w:eastAsia="黑体"/>
        </w:rPr>
        <w:t>主题词：</w:t>
      </w:r>
      <w:r>
        <w:t>环境影响 报告表 批复                （共印</w:t>
      </w:r>
      <w:r>
        <w:rPr>
          <w:rFonts w:hint="eastAsia"/>
        </w:rPr>
        <w:t>3</w:t>
      </w:r>
      <w: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242"/>
        <w:gridCol w:w="3922"/>
        <w:gridCol w:w="3890"/>
      </w:tblGrid>
      <w:tr w14:paraId="322EE04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8" w:space="0"/>
              <w:bottom w:val="single" w:color="auto" w:sz="8" w:space="0"/>
            </w:tcBorders>
          </w:tcPr>
          <w:p w14:paraId="0E4E9010">
            <w:pPr>
              <w:ind w:right="160"/>
              <w:jc w:val="right"/>
              <w:rPr>
                <w:rFonts w:eastAsia="黑体"/>
              </w:rPr>
            </w:pPr>
            <w:r>
              <w:rPr>
                <w:rFonts w:eastAsia="黑体"/>
              </w:rPr>
              <w:t>抄送：</w:t>
            </w:r>
          </w:p>
        </w:tc>
        <w:tc>
          <w:tcPr>
            <w:tcW w:w="7812" w:type="dxa"/>
            <w:gridSpan w:val="2"/>
            <w:tcBorders>
              <w:top w:val="single" w:color="auto" w:sz="8" w:space="0"/>
              <w:bottom w:val="single" w:color="auto" w:sz="8" w:space="0"/>
            </w:tcBorders>
          </w:tcPr>
          <w:p w14:paraId="5492AB60">
            <w:r>
              <w:t>天津市滨海新区</w:t>
            </w:r>
            <w:r>
              <w:rPr>
                <w:rFonts w:hint="eastAsia"/>
              </w:rPr>
              <w:t>生态</w:t>
            </w:r>
            <w:r>
              <w:t>环境局</w:t>
            </w:r>
          </w:p>
        </w:tc>
      </w:tr>
      <w:tr w14:paraId="006A4DA4">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5164" w:type="dxa"/>
            <w:gridSpan w:val="2"/>
            <w:tcBorders>
              <w:top w:val="single" w:color="auto" w:sz="8" w:space="0"/>
            </w:tcBorders>
          </w:tcPr>
          <w:p w14:paraId="537AD215">
            <w:r>
              <w:rPr>
                <w:rFonts w:hint="eastAsia"/>
              </w:rPr>
              <w:t>天津市滨海新区行政审批局</w:t>
            </w:r>
          </w:p>
        </w:tc>
        <w:tc>
          <w:tcPr>
            <w:tcW w:w="3890" w:type="dxa"/>
            <w:tcBorders>
              <w:top w:val="single" w:color="auto" w:sz="8" w:space="0"/>
            </w:tcBorders>
          </w:tcPr>
          <w:p w14:paraId="01B180C9">
            <w:pPr>
              <w:wordWrap w:val="0"/>
              <w:ind w:right="320" w:rightChars="100"/>
              <w:jc w:val="right"/>
            </w:pPr>
            <w:r>
              <w:t>20</w:t>
            </w:r>
            <w:r>
              <w:rPr>
                <w:rFonts w:hint="eastAsia"/>
              </w:rPr>
              <w:t>2</w:t>
            </w:r>
            <w:r>
              <w:rPr>
                <w:rFonts w:hint="eastAsia"/>
                <w:lang w:val="en-US" w:eastAsia="zh-CN"/>
              </w:rPr>
              <w:t>6</w:t>
            </w:r>
            <w:r>
              <w:t>年</w:t>
            </w:r>
            <w:r>
              <w:rPr>
                <w:rFonts w:hint="eastAsia"/>
              </w:rPr>
              <w:t>1月</w:t>
            </w:r>
            <w:r>
              <w:rPr>
                <w:rFonts w:hint="eastAsia"/>
                <w:lang w:val="en-US" w:eastAsia="zh-CN"/>
              </w:rPr>
              <w:t>29</w:t>
            </w:r>
            <w:r>
              <w:t>日印发</w:t>
            </w:r>
          </w:p>
        </w:tc>
      </w:tr>
    </w:tbl>
    <w:p w14:paraId="1BA16B92"/>
    <w:sectPr>
      <w:headerReference r:id="rId3" w:type="default"/>
      <w:footerReference r:id="rId4"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9765"/>
    </w:sdtPr>
    <w:sdtContent>
      <w:p w14:paraId="00A36536">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05B7148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07A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B9D"/>
    <w:rsid w:val="000000ED"/>
    <w:rsid w:val="00003187"/>
    <w:rsid w:val="00005129"/>
    <w:rsid w:val="00012316"/>
    <w:rsid w:val="00017EFA"/>
    <w:rsid w:val="00021047"/>
    <w:rsid w:val="00027F7A"/>
    <w:rsid w:val="00032953"/>
    <w:rsid w:val="000451A7"/>
    <w:rsid w:val="000453B7"/>
    <w:rsid w:val="000548CC"/>
    <w:rsid w:val="00062FED"/>
    <w:rsid w:val="000634F1"/>
    <w:rsid w:val="00063BE2"/>
    <w:rsid w:val="000657B0"/>
    <w:rsid w:val="00077ADA"/>
    <w:rsid w:val="00080A98"/>
    <w:rsid w:val="00085EF5"/>
    <w:rsid w:val="0008666F"/>
    <w:rsid w:val="00091C2C"/>
    <w:rsid w:val="000931B0"/>
    <w:rsid w:val="000931CA"/>
    <w:rsid w:val="0009352D"/>
    <w:rsid w:val="00097DA8"/>
    <w:rsid w:val="000D45D0"/>
    <w:rsid w:val="000D754B"/>
    <w:rsid w:val="000E069B"/>
    <w:rsid w:val="000E209C"/>
    <w:rsid w:val="000F7EEF"/>
    <w:rsid w:val="001040CF"/>
    <w:rsid w:val="0011736F"/>
    <w:rsid w:val="00127AE7"/>
    <w:rsid w:val="00141E18"/>
    <w:rsid w:val="00154AA1"/>
    <w:rsid w:val="00155A9A"/>
    <w:rsid w:val="001602A8"/>
    <w:rsid w:val="001708D6"/>
    <w:rsid w:val="00185818"/>
    <w:rsid w:val="0019193B"/>
    <w:rsid w:val="001A21BB"/>
    <w:rsid w:val="001B066E"/>
    <w:rsid w:val="001C0D5B"/>
    <w:rsid w:val="001C71C4"/>
    <w:rsid w:val="001D55C1"/>
    <w:rsid w:val="001E44A6"/>
    <w:rsid w:val="001F2E07"/>
    <w:rsid w:val="001F3EDC"/>
    <w:rsid w:val="002014D5"/>
    <w:rsid w:val="00203B29"/>
    <w:rsid w:val="002102C7"/>
    <w:rsid w:val="00210B83"/>
    <w:rsid w:val="0024430E"/>
    <w:rsid w:val="00255939"/>
    <w:rsid w:val="00256124"/>
    <w:rsid w:val="00261B2D"/>
    <w:rsid w:val="0027460C"/>
    <w:rsid w:val="00275DD8"/>
    <w:rsid w:val="00282601"/>
    <w:rsid w:val="002858A4"/>
    <w:rsid w:val="00292B28"/>
    <w:rsid w:val="002A61D2"/>
    <w:rsid w:val="002A6EBE"/>
    <w:rsid w:val="002B607C"/>
    <w:rsid w:val="002D2E2A"/>
    <w:rsid w:val="002D4DA6"/>
    <w:rsid w:val="002D545C"/>
    <w:rsid w:val="002D7082"/>
    <w:rsid w:val="002D76B8"/>
    <w:rsid w:val="002E401B"/>
    <w:rsid w:val="002E692F"/>
    <w:rsid w:val="00310B46"/>
    <w:rsid w:val="00321A8B"/>
    <w:rsid w:val="00323CED"/>
    <w:rsid w:val="003276C0"/>
    <w:rsid w:val="00330A22"/>
    <w:rsid w:val="00346E41"/>
    <w:rsid w:val="003631B1"/>
    <w:rsid w:val="00371D93"/>
    <w:rsid w:val="00373B1A"/>
    <w:rsid w:val="00374E8D"/>
    <w:rsid w:val="00380065"/>
    <w:rsid w:val="00395C48"/>
    <w:rsid w:val="003A0AF9"/>
    <w:rsid w:val="003A397F"/>
    <w:rsid w:val="003A3EBD"/>
    <w:rsid w:val="003C657C"/>
    <w:rsid w:val="003D7B4C"/>
    <w:rsid w:val="003E18B7"/>
    <w:rsid w:val="003F7931"/>
    <w:rsid w:val="0040020E"/>
    <w:rsid w:val="00400DD2"/>
    <w:rsid w:val="00401705"/>
    <w:rsid w:val="00404088"/>
    <w:rsid w:val="0041139B"/>
    <w:rsid w:val="004206D8"/>
    <w:rsid w:val="0042398D"/>
    <w:rsid w:val="00427887"/>
    <w:rsid w:val="004312E2"/>
    <w:rsid w:val="00431B4A"/>
    <w:rsid w:val="00443020"/>
    <w:rsid w:val="00447B9B"/>
    <w:rsid w:val="00475631"/>
    <w:rsid w:val="004831E2"/>
    <w:rsid w:val="00495B78"/>
    <w:rsid w:val="004963AE"/>
    <w:rsid w:val="004969DE"/>
    <w:rsid w:val="004A5F7D"/>
    <w:rsid w:val="004B1790"/>
    <w:rsid w:val="004B1B4C"/>
    <w:rsid w:val="004B1D77"/>
    <w:rsid w:val="004B6554"/>
    <w:rsid w:val="004B6CF6"/>
    <w:rsid w:val="004D5384"/>
    <w:rsid w:val="004D542A"/>
    <w:rsid w:val="00503728"/>
    <w:rsid w:val="00514D56"/>
    <w:rsid w:val="00520063"/>
    <w:rsid w:val="00535942"/>
    <w:rsid w:val="005411CD"/>
    <w:rsid w:val="005413E6"/>
    <w:rsid w:val="005537B6"/>
    <w:rsid w:val="00585DE1"/>
    <w:rsid w:val="005860F7"/>
    <w:rsid w:val="00597D45"/>
    <w:rsid w:val="005A58A9"/>
    <w:rsid w:val="005A6D2D"/>
    <w:rsid w:val="005B1982"/>
    <w:rsid w:val="005B2AAF"/>
    <w:rsid w:val="005B3531"/>
    <w:rsid w:val="005C641A"/>
    <w:rsid w:val="005D14A8"/>
    <w:rsid w:val="005E1F3E"/>
    <w:rsid w:val="005E4B9D"/>
    <w:rsid w:val="005F2674"/>
    <w:rsid w:val="005F28FD"/>
    <w:rsid w:val="005F4F6F"/>
    <w:rsid w:val="00611936"/>
    <w:rsid w:val="00622194"/>
    <w:rsid w:val="00635419"/>
    <w:rsid w:val="00637D80"/>
    <w:rsid w:val="00641676"/>
    <w:rsid w:val="00644BE7"/>
    <w:rsid w:val="00645767"/>
    <w:rsid w:val="0065312E"/>
    <w:rsid w:val="00660EAC"/>
    <w:rsid w:val="006618CE"/>
    <w:rsid w:val="00672AB5"/>
    <w:rsid w:val="00673A5F"/>
    <w:rsid w:val="006814DD"/>
    <w:rsid w:val="00687F41"/>
    <w:rsid w:val="0069481E"/>
    <w:rsid w:val="006952E6"/>
    <w:rsid w:val="00695C88"/>
    <w:rsid w:val="006A3C27"/>
    <w:rsid w:val="006A3CA1"/>
    <w:rsid w:val="006B0572"/>
    <w:rsid w:val="006B3C74"/>
    <w:rsid w:val="006C5EDA"/>
    <w:rsid w:val="006C666D"/>
    <w:rsid w:val="006C6966"/>
    <w:rsid w:val="006C7509"/>
    <w:rsid w:val="006D0535"/>
    <w:rsid w:val="006D323D"/>
    <w:rsid w:val="006F68B5"/>
    <w:rsid w:val="0070112D"/>
    <w:rsid w:val="00706124"/>
    <w:rsid w:val="00722223"/>
    <w:rsid w:val="0073526A"/>
    <w:rsid w:val="00745C96"/>
    <w:rsid w:val="00746C49"/>
    <w:rsid w:val="00756A6B"/>
    <w:rsid w:val="00764376"/>
    <w:rsid w:val="0076746E"/>
    <w:rsid w:val="0077289E"/>
    <w:rsid w:val="00783770"/>
    <w:rsid w:val="007838F6"/>
    <w:rsid w:val="00785125"/>
    <w:rsid w:val="007937C9"/>
    <w:rsid w:val="007A22B2"/>
    <w:rsid w:val="007A42BF"/>
    <w:rsid w:val="007C0570"/>
    <w:rsid w:val="007C49A0"/>
    <w:rsid w:val="007C5CCE"/>
    <w:rsid w:val="007D6512"/>
    <w:rsid w:val="007D6F6C"/>
    <w:rsid w:val="007F2D5B"/>
    <w:rsid w:val="007F3A11"/>
    <w:rsid w:val="007F3BEB"/>
    <w:rsid w:val="007F45F1"/>
    <w:rsid w:val="007F7F4B"/>
    <w:rsid w:val="00812D32"/>
    <w:rsid w:val="008137F5"/>
    <w:rsid w:val="00813E40"/>
    <w:rsid w:val="00836613"/>
    <w:rsid w:val="008427EF"/>
    <w:rsid w:val="00854762"/>
    <w:rsid w:val="00870053"/>
    <w:rsid w:val="0088082E"/>
    <w:rsid w:val="00880ACF"/>
    <w:rsid w:val="0089128F"/>
    <w:rsid w:val="008B0839"/>
    <w:rsid w:val="008B3585"/>
    <w:rsid w:val="008B64A3"/>
    <w:rsid w:val="008B7F60"/>
    <w:rsid w:val="008E3137"/>
    <w:rsid w:val="008E337A"/>
    <w:rsid w:val="008E7A7C"/>
    <w:rsid w:val="00902ADA"/>
    <w:rsid w:val="00915B0E"/>
    <w:rsid w:val="009329D7"/>
    <w:rsid w:val="00932A5B"/>
    <w:rsid w:val="0093523F"/>
    <w:rsid w:val="009405B8"/>
    <w:rsid w:val="00943995"/>
    <w:rsid w:val="00951076"/>
    <w:rsid w:val="0095580B"/>
    <w:rsid w:val="00956DC8"/>
    <w:rsid w:val="009600CF"/>
    <w:rsid w:val="00960614"/>
    <w:rsid w:val="00962EEA"/>
    <w:rsid w:val="00971CA7"/>
    <w:rsid w:val="00975A90"/>
    <w:rsid w:val="00983896"/>
    <w:rsid w:val="00990C13"/>
    <w:rsid w:val="009A01DB"/>
    <w:rsid w:val="009A26A1"/>
    <w:rsid w:val="009A38D1"/>
    <w:rsid w:val="009A6638"/>
    <w:rsid w:val="009B3B1A"/>
    <w:rsid w:val="009B7077"/>
    <w:rsid w:val="009C2978"/>
    <w:rsid w:val="009D0145"/>
    <w:rsid w:val="009D27F7"/>
    <w:rsid w:val="009D5CD3"/>
    <w:rsid w:val="009E34EE"/>
    <w:rsid w:val="00A144E3"/>
    <w:rsid w:val="00A146D6"/>
    <w:rsid w:val="00A17D40"/>
    <w:rsid w:val="00A270E7"/>
    <w:rsid w:val="00A274B5"/>
    <w:rsid w:val="00A373B9"/>
    <w:rsid w:val="00A46A05"/>
    <w:rsid w:val="00A47243"/>
    <w:rsid w:val="00A51802"/>
    <w:rsid w:val="00A6121B"/>
    <w:rsid w:val="00A6581B"/>
    <w:rsid w:val="00A820B7"/>
    <w:rsid w:val="00A84BFF"/>
    <w:rsid w:val="00A87B33"/>
    <w:rsid w:val="00A87B5F"/>
    <w:rsid w:val="00A947C4"/>
    <w:rsid w:val="00AA23AE"/>
    <w:rsid w:val="00AA52FC"/>
    <w:rsid w:val="00AA76F2"/>
    <w:rsid w:val="00AB1611"/>
    <w:rsid w:val="00AB1BC3"/>
    <w:rsid w:val="00AB5754"/>
    <w:rsid w:val="00AB6CFA"/>
    <w:rsid w:val="00AC20B9"/>
    <w:rsid w:val="00AD0CB6"/>
    <w:rsid w:val="00AD4B10"/>
    <w:rsid w:val="00AD5519"/>
    <w:rsid w:val="00AD7E0F"/>
    <w:rsid w:val="00AE2071"/>
    <w:rsid w:val="00AE2FBB"/>
    <w:rsid w:val="00AE3626"/>
    <w:rsid w:val="00AE466E"/>
    <w:rsid w:val="00AF1EA3"/>
    <w:rsid w:val="00AF6F47"/>
    <w:rsid w:val="00B01A96"/>
    <w:rsid w:val="00B02152"/>
    <w:rsid w:val="00B042B9"/>
    <w:rsid w:val="00B067C2"/>
    <w:rsid w:val="00B06C6D"/>
    <w:rsid w:val="00B13FB6"/>
    <w:rsid w:val="00B31641"/>
    <w:rsid w:val="00B37379"/>
    <w:rsid w:val="00B56AAE"/>
    <w:rsid w:val="00B57588"/>
    <w:rsid w:val="00B70DC0"/>
    <w:rsid w:val="00B739DA"/>
    <w:rsid w:val="00B7639D"/>
    <w:rsid w:val="00B84011"/>
    <w:rsid w:val="00B91E96"/>
    <w:rsid w:val="00B92217"/>
    <w:rsid w:val="00BA02E4"/>
    <w:rsid w:val="00BA2C98"/>
    <w:rsid w:val="00BC1A3F"/>
    <w:rsid w:val="00BD70C1"/>
    <w:rsid w:val="00BE0AAC"/>
    <w:rsid w:val="00BE38C8"/>
    <w:rsid w:val="00BE56E3"/>
    <w:rsid w:val="00BF5079"/>
    <w:rsid w:val="00BF708D"/>
    <w:rsid w:val="00BF77C8"/>
    <w:rsid w:val="00C11B57"/>
    <w:rsid w:val="00C2482D"/>
    <w:rsid w:val="00C24C19"/>
    <w:rsid w:val="00C26759"/>
    <w:rsid w:val="00C3090B"/>
    <w:rsid w:val="00C572DE"/>
    <w:rsid w:val="00C71D07"/>
    <w:rsid w:val="00C74B54"/>
    <w:rsid w:val="00C76135"/>
    <w:rsid w:val="00C76B70"/>
    <w:rsid w:val="00C83698"/>
    <w:rsid w:val="00C93BD6"/>
    <w:rsid w:val="00CA5DF8"/>
    <w:rsid w:val="00CD60AB"/>
    <w:rsid w:val="00CE3A5A"/>
    <w:rsid w:val="00CE50C2"/>
    <w:rsid w:val="00CE727D"/>
    <w:rsid w:val="00CE7D57"/>
    <w:rsid w:val="00CF2E32"/>
    <w:rsid w:val="00D04168"/>
    <w:rsid w:val="00D07CB4"/>
    <w:rsid w:val="00D2190F"/>
    <w:rsid w:val="00D23537"/>
    <w:rsid w:val="00D43EFC"/>
    <w:rsid w:val="00D4543C"/>
    <w:rsid w:val="00D5178D"/>
    <w:rsid w:val="00D51A16"/>
    <w:rsid w:val="00D52B0E"/>
    <w:rsid w:val="00D60F28"/>
    <w:rsid w:val="00D74BAE"/>
    <w:rsid w:val="00D92D22"/>
    <w:rsid w:val="00D949FB"/>
    <w:rsid w:val="00D950F8"/>
    <w:rsid w:val="00DA353D"/>
    <w:rsid w:val="00DB4BBF"/>
    <w:rsid w:val="00DC203A"/>
    <w:rsid w:val="00DC4A11"/>
    <w:rsid w:val="00DD25A3"/>
    <w:rsid w:val="00DE6716"/>
    <w:rsid w:val="00DE780B"/>
    <w:rsid w:val="00DF4F33"/>
    <w:rsid w:val="00E01196"/>
    <w:rsid w:val="00E0194D"/>
    <w:rsid w:val="00E01CA6"/>
    <w:rsid w:val="00E07241"/>
    <w:rsid w:val="00E163F4"/>
    <w:rsid w:val="00E2178A"/>
    <w:rsid w:val="00E22F90"/>
    <w:rsid w:val="00E2523D"/>
    <w:rsid w:val="00E312EA"/>
    <w:rsid w:val="00E3414F"/>
    <w:rsid w:val="00E41133"/>
    <w:rsid w:val="00E504D9"/>
    <w:rsid w:val="00E50646"/>
    <w:rsid w:val="00E574A1"/>
    <w:rsid w:val="00E628F1"/>
    <w:rsid w:val="00E63B55"/>
    <w:rsid w:val="00E7111F"/>
    <w:rsid w:val="00E73A6B"/>
    <w:rsid w:val="00E74BCF"/>
    <w:rsid w:val="00E765CB"/>
    <w:rsid w:val="00E76CAF"/>
    <w:rsid w:val="00E805A6"/>
    <w:rsid w:val="00E821A2"/>
    <w:rsid w:val="00E9501E"/>
    <w:rsid w:val="00E95586"/>
    <w:rsid w:val="00EA7883"/>
    <w:rsid w:val="00EC51BA"/>
    <w:rsid w:val="00EE1F06"/>
    <w:rsid w:val="00EF29AB"/>
    <w:rsid w:val="00F142DC"/>
    <w:rsid w:val="00F14DE5"/>
    <w:rsid w:val="00F17DCB"/>
    <w:rsid w:val="00F20059"/>
    <w:rsid w:val="00F2273C"/>
    <w:rsid w:val="00F32BA5"/>
    <w:rsid w:val="00F331BC"/>
    <w:rsid w:val="00F44931"/>
    <w:rsid w:val="00F45431"/>
    <w:rsid w:val="00F51346"/>
    <w:rsid w:val="00F62653"/>
    <w:rsid w:val="00F64CF9"/>
    <w:rsid w:val="00F74308"/>
    <w:rsid w:val="00F76D1A"/>
    <w:rsid w:val="00F85504"/>
    <w:rsid w:val="00FC4504"/>
    <w:rsid w:val="00FD223C"/>
    <w:rsid w:val="00FF1C83"/>
    <w:rsid w:val="00FF61EA"/>
    <w:rsid w:val="01740FA6"/>
    <w:rsid w:val="03277AEE"/>
    <w:rsid w:val="07B846B4"/>
    <w:rsid w:val="09047D11"/>
    <w:rsid w:val="09BF05F1"/>
    <w:rsid w:val="0A9405E9"/>
    <w:rsid w:val="0C977DA8"/>
    <w:rsid w:val="0EBF5D6C"/>
    <w:rsid w:val="10B339F6"/>
    <w:rsid w:val="10C40B26"/>
    <w:rsid w:val="11860AFB"/>
    <w:rsid w:val="14645659"/>
    <w:rsid w:val="16540243"/>
    <w:rsid w:val="16C2025A"/>
    <w:rsid w:val="17C66775"/>
    <w:rsid w:val="18770142"/>
    <w:rsid w:val="19A02B60"/>
    <w:rsid w:val="1B067D19"/>
    <w:rsid w:val="1C5C5484"/>
    <w:rsid w:val="1F914AA8"/>
    <w:rsid w:val="1F916AB1"/>
    <w:rsid w:val="21FA61F2"/>
    <w:rsid w:val="22503B80"/>
    <w:rsid w:val="22EA3CC3"/>
    <w:rsid w:val="2494265D"/>
    <w:rsid w:val="286031DD"/>
    <w:rsid w:val="298F17BF"/>
    <w:rsid w:val="2994497A"/>
    <w:rsid w:val="2BE42BD3"/>
    <w:rsid w:val="2CA67E37"/>
    <w:rsid w:val="2D0639F6"/>
    <w:rsid w:val="2E755089"/>
    <w:rsid w:val="30F607F1"/>
    <w:rsid w:val="317136CD"/>
    <w:rsid w:val="31AC24EA"/>
    <w:rsid w:val="34840B67"/>
    <w:rsid w:val="366337ED"/>
    <w:rsid w:val="3853620B"/>
    <w:rsid w:val="3C137C90"/>
    <w:rsid w:val="3FD3227D"/>
    <w:rsid w:val="45933C72"/>
    <w:rsid w:val="472C15E5"/>
    <w:rsid w:val="4A414987"/>
    <w:rsid w:val="4B4345C1"/>
    <w:rsid w:val="4C3B6976"/>
    <w:rsid w:val="4D0F4BBA"/>
    <w:rsid w:val="51DC2670"/>
    <w:rsid w:val="51EB616D"/>
    <w:rsid w:val="542813DF"/>
    <w:rsid w:val="555761E8"/>
    <w:rsid w:val="57904998"/>
    <w:rsid w:val="5C690FBE"/>
    <w:rsid w:val="5D850685"/>
    <w:rsid w:val="5FCA5CA8"/>
    <w:rsid w:val="61593D0C"/>
    <w:rsid w:val="621C488E"/>
    <w:rsid w:val="623B37C7"/>
    <w:rsid w:val="63D53BEC"/>
    <w:rsid w:val="662100A8"/>
    <w:rsid w:val="68EB2C3F"/>
    <w:rsid w:val="68EC03E8"/>
    <w:rsid w:val="69796CE7"/>
    <w:rsid w:val="6E5B3674"/>
    <w:rsid w:val="6F0736D9"/>
    <w:rsid w:val="6F9B0AD8"/>
    <w:rsid w:val="76817CF6"/>
    <w:rsid w:val="7B8A39E9"/>
    <w:rsid w:val="7E126DF8"/>
    <w:rsid w:val="7FA67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paragraph" w:customStyle="1" w:styleId="8">
    <w:name w:val="中文报告书样式"/>
    <w:basedOn w:val="1"/>
    <w:link w:val="9"/>
    <w:qFormat/>
    <w:uiPriority w:val="0"/>
    <w:pPr>
      <w:adjustRightInd w:val="0"/>
      <w:spacing w:line="420" w:lineRule="atLeast"/>
      <w:jc w:val="left"/>
      <w:textAlignment w:val="baseline"/>
    </w:pPr>
    <w:rPr>
      <w:rFonts w:ascii="Times New Roman" w:hAnsi="Times New Roman"/>
      <w:kern w:val="24"/>
      <w:sz w:val="24"/>
      <w:szCs w:val="20"/>
    </w:rPr>
  </w:style>
  <w:style w:type="character" w:customStyle="1" w:styleId="9">
    <w:name w:val="中文报告书样式 Char1"/>
    <w:basedOn w:val="6"/>
    <w:link w:val="8"/>
    <w:qFormat/>
    <w:locked/>
    <w:uiPriority w:val="0"/>
    <w:rPr>
      <w:rFonts w:ascii="Times New Roman" w:hAnsi="Times New Roman" w:eastAsia="仿宋_GB2312"/>
      <w:kern w:val="24"/>
      <w:sz w:val="24"/>
    </w:rPr>
  </w:style>
  <w:style w:type="character" w:customStyle="1" w:styleId="10">
    <w:name w:val="批注框文本 Char"/>
    <w:basedOn w:val="6"/>
    <w:link w:val="2"/>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371</Words>
  <Characters>2117</Characters>
  <Lines>17</Lines>
  <Paragraphs>4</Paragraphs>
  <TotalTime>45</TotalTime>
  <ScaleCrop>false</ScaleCrop>
  <LinksUpToDate>false</LinksUpToDate>
  <CharactersWithSpaces>2484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2023-01-12T07:42:00Z</dcterms:created>
  <dc:creator>Administrator</dc:creator>
  <cp:lastModifiedBy>dell</cp:lastModifiedBy>
  <cp:lastPrinted>2025-11-20T05:53:00Z</cp:lastPrinted>
  <dcterms:modified xsi:type="dcterms:W3CDTF">2026-01-29T08:34:57Z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2506BE0C44304D2383D4B48620830A3E_13</vt:lpwstr>
  </property>
</Properties>
</file>