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7295D">
      <w:pPr>
        <w:rPr>
          <w:rFonts w:ascii="仿宋_GB2312" w:eastAsia="仿宋_GB2312"/>
          <w:sz w:val="32"/>
          <w:szCs w:val="32"/>
        </w:rPr>
      </w:pPr>
    </w:p>
    <w:p w14:paraId="38CC5701">
      <w:pPr>
        <w:rPr>
          <w:rFonts w:hint="eastAsia" w:ascii="仿宋_GB2312" w:eastAsia="仿宋_GB2312"/>
          <w:sz w:val="32"/>
          <w:szCs w:val="32"/>
          <w:highlight w:val="yellow"/>
          <w:lang w:val="en-US" w:eastAsia="zh-CN"/>
        </w:rPr>
      </w:pPr>
    </w:p>
    <w:p w14:paraId="23D62247">
      <w:pPr>
        <w:rPr>
          <w:rFonts w:ascii="仿宋_GB2312" w:eastAsia="仿宋_GB2312"/>
          <w:sz w:val="32"/>
          <w:szCs w:val="32"/>
        </w:rPr>
      </w:pPr>
    </w:p>
    <w:p w14:paraId="66FE7C6B">
      <w:pPr>
        <w:spacing w:line="360" w:lineRule="auto"/>
        <w:jc w:val="center"/>
        <w:rPr>
          <w:rFonts w:ascii="仿宋_GB2312" w:eastAsia="仿宋_GB2312"/>
          <w:sz w:val="32"/>
          <w:szCs w:val="32"/>
        </w:rPr>
      </w:pPr>
    </w:p>
    <w:p w14:paraId="29627FD1">
      <w:pPr>
        <w:jc w:val="center"/>
        <w:rPr>
          <w:rFonts w:hint="default" w:ascii="Times New Roman" w:hAnsi="Times New Roman" w:eastAsia="仿宋_GB2312" w:cs="Times New Roman"/>
          <w:sz w:val="32"/>
          <w:szCs w:val="32"/>
        </w:rPr>
      </w:pPr>
    </w:p>
    <w:p w14:paraId="64623459">
      <w:pPr>
        <w:jc w:val="center"/>
        <w:rPr>
          <w:rFonts w:ascii="仿宋_GB2312" w:eastAsia="仿宋_GB2312"/>
          <w:sz w:val="32"/>
          <w:szCs w:val="32"/>
        </w:rPr>
      </w:pPr>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222</w:t>
      </w:r>
      <w:r>
        <w:rPr>
          <w:rFonts w:hint="default" w:ascii="Times New Roman" w:hAnsi="Times New Roman" w:eastAsia="仿宋_GB2312" w:cs="Times New Roman"/>
          <w:sz w:val="32"/>
          <w:szCs w:val="32"/>
        </w:rPr>
        <w:t>号</w:t>
      </w:r>
    </w:p>
    <w:p w14:paraId="204716EA">
      <w:pPr>
        <w:rPr>
          <w:rFonts w:ascii="仿宋_GB2312" w:eastAsia="仿宋_GB2312"/>
          <w:sz w:val="32"/>
          <w:szCs w:val="32"/>
        </w:rPr>
      </w:pPr>
      <w:bookmarkStart w:id="0" w:name="_GoBack"/>
      <w:bookmarkEnd w:id="0"/>
    </w:p>
    <w:p w14:paraId="5122EF0A">
      <w:pPr>
        <w:pStyle w:val="11"/>
        <w:spacing w:line="580" w:lineRule="exact"/>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（项目代码：</w:t>
      </w:r>
      <w:r>
        <w:rPr>
          <w:rFonts w:hint="eastAsia" w:eastAsia="仿宋_GB2312" w:cs="Times New Roman"/>
          <w:kern w:val="2"/>
          <w:sz w:val="32"/>
          <w:szCs w:val="32"/>
          <w:lang w:val="en-US" w:eastAsia="zh-CN" w:bidi="ar-SA"/>
        </w:rPr>
        <w:t>2211</w:t>
      </w:r>
      <w:r>
        <w:rPr>
          <w:rFonts w:hint="eastAsia" w:ascii="Times New Roman" w:hAnsi="Times New Roman" w:eastAsia="仿宋_GB2312" w:cs="Times New Roman"/>
          <w:kern w:val="2"/>
          <w:sz w:val="32"/>
          <w:szCs w:val="32"/>
          <w:lang w:val="en-US" w:eastAsia="zh-CN" w:bidi="ar-SA"/>
        </w:rPr>
        <w:t>-120116-</w:t>
      </w:r>
      <w:r>
        <w:rPr>
          <w:rFonts w:hint="eastAsia" w:eastAsia="仿宋_GB2312" w:cs="Times New Roman"/>
          <w:kern w:val="2"/>
          <w:sz w:val="32"/>
          <w:szCs w:val="32"/>
          <w:lang w:val="en-US" w:eastAsia="zh-CN" w:bidi="ar-SA"/>
        </w:rPr>
        <w:t>04</w:t>
      </w:r>
      <w:r>
        <w:rPr>
          <w:rFonts w:hint="eastAsia" w:ascii="Times New Roman" w:hAnsi="Times New Roman" w:eastAsia="仿宋_GB2312" w:cs="Times New Roman"/>
          <w:kern w:val="2"/>
          <w:sz w:val="32"/>
          <w:szCs w:val="32"/>
          <w:lang w:val="en-US" w:eastAsia="zh-CN" w:bidi="ar-SA"/>
        </w:rPr>
        <w:t>-01-</w:t>
      </w:r>
      <w:r>
        <w:rPr>
          <w:rFonts w:hint="eastAsia" w:eastAsia="仿宋_GB2312" w:cs="Times New Roman"/>
          <w:kern w:val="2"/>
          <w:sz w:val="32"/>
          <w:szCs w:val="32"/>
          <w:lang w:val="en-US" w:eastAsia="zh-CN" w:bidi="ar-SA"/>
        </w:rPr>
        <w:t>850851</w:t>
      </w:r>
      <w:r>
        <w:rPr>
          <w:rFonts w:hint="eastAsia" w:ascii="Times New Roman" w:hAnsi="Times New Roman" w:eastAsia="仿宋_GB2312" w:cs="Times New Roman"/>
          <w:kern w:val="2"/>
          <w:sz w:val="32"/>
          <w:szCs w:val="32"/>
          <w:lang w:val="en-US" w:eastAsia="zh-CN" w:bidi="ar-SA"/>
        </w:rPr>
        <w:t>）</w:t>
      </w:r>
    </w:p>
    <w:p w14:paraId="053A7EB6">
      <w:pPr>
        <w:pStyle w:val="11"/>
        <w:spacing w:line="580" w:lineRule="exact"/>
        <w:jc w:val="center"/>
        <w:rPr>
          <w:rFonts w:hint="eastAsia" w:ascii="Times New Roman" w:hAnsi="Times New Roman" w:eastAsia="仿宋_GB2312" w:cs="Times New Roman"/>
          <w:kern w:val="2"/>
          <w:sz w:val="32"/>
          <w:szCs w:val="32"/>
          <w:lang w:val="en-US" w:eastAsia="zh-CN" w:bidi="ar-SA"/>
        </w:rPr>
      </w:pPr>
    </w:p>
    <w:p w14:paraId="6F75DC11">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hint="eastAsia" w:ascii="方正小标宋简体" w:hAnsi="宋体" w:eastAsia="方正小标宋简体"/>
          <w:color w:val="000000"/>
          <w:sz w:val="44"/>
          <w:lang w:val="en-US" w:eastAsia="zh-CN"/>
        </w:rPr>
      </w:pPr>
      <w:r>
        <w:rPr>
          <w:rFonts w:hint="eastAsia" w:ascii="方正小标宋简体" w:hAnsi="宋体" w:eastAsia="方正小标宋简体"/>
          <w:color w:val="000000"/>
          <w:sz w:val="44"/>
        </w:rPr>
        <w:t>关于</w:t>
      </w:r>
      <w:r>
        <w:rPr>
          <w:rFonts w:hint="eastAsia" w:ascii="方正小标宋简体" w:hAnsi="宋体" w:eastAsia="方正小标宋简体"/>
          <w:color w:val="000000"/>
          <w:sz w:val="44"/>
          <w:lang w:val="en-US" w:eastAsia="zh-CN"/>
        </w:rPr>
        <w:t>国电电力大港电厂2×600MW</w:t>
      </w:r>
    </w:p>
    <w:p w14:paraId="67FA75E8">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hint="eastAsia" w:ascii="方正小标宋简体" w:hAnsi="宋体" w:eastAsia="方正小标宋简体"/>
          <w:color w:val="000000"/>
          <w:sz w:val="44"/>
          <w:lang w:val="en-US" w:eastAsia="zh-CN"/>
        </w:rPr>
      </w:pPr>
      <w:r>
        <w:rPr>
          <w:rFonts w:hint="eastAsia" w:ascii="方正小标宋简体" w:hAnsi="宋体" w:eastAsia="方正小标宋简体"/>
          <w:color w:val="000000"/>
          <w:sz w:val="44"/>
          <w:lang w:val="en-US" w:eastAsia="zh-CN"/>
        </w:rPr>
        <w:t>关停替代项目（220kV变电站工程）</w:t>
      </w:r>
    </w:p>
    <w:p w14:paraId="7D41DDF4">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ascii="方正小标宋简体" w:hAnsi="宋体" w:eastAsia="方正小标宋简体"/>
          <w:color w:val="000000"/>
          <w:sz w:val="44"/>
        </w:rPr>
      </w:pPr>
      <w:r>
        <w:rPr>
          <w:rFonts w:hint="eastAsia" w:ascii="方正小标宋简体" w:hAnsi="宋体" w:eastAsia="方正小标宋简体"/>
          <w:color w:val="000000"/>
          <w:sz w:val="44"/>
        </w:rPr>
        <w:t>环境影响报告表的批复</w:t>
      </w:r>
    </w:p>
    <w:p w14:paraId="31AE4A7E">
      <w:pPr>
        <w:spacing w:line="0" w:lineRule="atLeast"/>
        <w:jc w:val="center"/>
        <w:rPr>
          <w:rFonts w:ascii="宋体" w:hAnsi="宋体"/>
          <w:b/>
          <w:color w:val="000000"/>
          <w:sz w:val="44"/>
        </w:rPr>
      </w:pPr>
    </w:p>
    <w:p w14:paraId="0906BAA3">
      <w:pPr>
        <w:keepNext w:val="0"/>
        <w:keepLines w:val="0"/>
        <w:pageBreakBefore w:val="0"/>
        <w:widowControl w:val="0"/>
        <w:kinsoku/>
        <w:wordWrap/>
        <w:overflowPunct/>
        <w:topLinePunct w:val="0"/>
        <w:autoSpaceDE/>
        <w:autoSpaceDN/>
        <w:bidi w:val="0"/>
        <w:adjustRightInd/>
        <w:snapToGrid/>
        <w:spacing w:line="610" w:lineRule="exact"/>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国电（天津）大港发电厂</w:t>
      </w:r>
      <w:r>
        <w:rPr>
          <w:rFonts w:hint="eastAsia" w:eastAsia="仿宋_GB2312" w:cs="Times New Roman"/>
          <w:sz w:val="32"/>
          <w:szCs w:val="32"/>
          <w:lang w:eastAsia="zh-CN"/>
        </w:rPr>
        <w:t>有限公司</w:t>
      </w:r>
      <w:r>
        <w:rPr>
          <w:rFonts w:hint="default" w:ascii="Times New Roman" w:hAnsi="Times New Roman" w:eastAsia="仿宋_GB2312" w:cs="Times New Roman"/>
          <w:sz w:val="32"/>
          <w:szCs w:val="32"/>
        </w:rPr>
        <w:t>：</w:t>
      </w:r>
    </w:p>
    <w:p w14:paraId="20B52328">
      <w:pPr>
        <w:pStyle w:val="11"/>
        <w:keepNext w:val="0"/>
        <w:keepLines w:val="0"/>
        <w:pageBreakBefore w:val="0"/>
        <w:widowControl w:val="0"/>
        <w:kinsoku/>
        <w:wordWrap/>
        <w:overflowPunct/>
        <w:topLinePunct w:val="0"/>
        <w:autoSpaceDE/>
        <w:autoSpaceDN/>
        <w:bidi w:val="0"/>
        <w:adjustRightInd w:val="0"/>
        <w:snapToGrid/>
        <w:spacing w:line="6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你公司呈报的《</w:t>
      </w:r>
      <w:r>
        <w:rPr>
          <w:rFonts w:hint="eastAsia" w:eastAsia="仿宋_GB2312" w:cs="Times New Roman"/>
          <w:sz w:val="32"/>
          <w:szCs w:val="32"/>
          <w:highlight w:val="none"/>
          <w:lang w:val="en-US" w:eastAsia="zh-CN"/>
        </w:rPr>
        <w:t>关于报批</w:t>
      </w:r>
      <w:r>
        <w:rPr>
          <w:rFonts w:hint="default" w:ascii="Times New Roman" w:hAnsi="Times New Roman" w:eastAsia="仿宋_GB2312" w:cs="Times New Roman"/>
          <w:sz w:val="32"/>
          <w:szCs w:val="32"/>
          <w:highlight w:val="none"/>
          <w:lang w:val="en-US" w:eastAsia="zh-CN"/>
        </w:rPr>
        <w:t>国电电力大港电厂2×600MW关停替代项目（220kV变电站工程）</w:t>
      </w:r>
      <w:r>
        <w:rPr>
          <w:rFonts w:hint="default" w:eastAsia="仿宋_GB2312" w:cs="Times New Roman"/>
          <w:sz w:val="32"/>
          <w:szCs w:val="32"/>
          <w:highlight w:val="none"/>
          <w:lang w:val="en-US" w:eastAsia="zh-CN"/>
        </w:rPr>
        <w:t>环境影</w:t>
      </w:r>
      <w:r>
        <w:rPr>
          <w:rFonts w:hint="default" w:ascii="Times New Roman" w:hAnsi="Times New Roman" w:eastAsia="仿宋_GB2312" w:cs="Times New Roman"/>
          <w:sz w:val="32"/>
          <w:szCs w:val="32"/>
          <w:highlight w:val="none"/>
        </w:rPr>
        <w:t>响报告表</w:t>
      </w:r>
      <w:r>
        <w:rPr>
          <w:rFonts w:hint="eastAsia" w:eastAsia="仿宋_GB2312" w:cs="Times New Roman"/>
          <w:sz w:val="32"/>
          <w:szCs w:val="32"/>
          <w:highlight w:val="none"/>
          <w:lang w:eastAsia="zh-CN"/>
        </w:rPr>
        <w:t>的请示</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天津绿城环保科技</w:t>
      </w:r>
      <w:r>
        <w:rPr>
          <w:rFonts w:hint="eastAsia" w:ascii="Times New Roman" w:hAnsi="Times New Roman" w:eastAsia="仿宋_GB2312" w:cs="Times New Roman"/>
          <w:sz w:val="32"/>
          <w:szCs w:val="32"/>
          <w:lang w:eastAsia="zh-CN"/>
        </w:rPr>
        <w:t>有限公司</w:t>
      </w:r>
      <w:r>
        <w:rPr>
          <w:rFonts w:hint="eastAsia" w:ascii="Times New Roman" w:hAnsi="Times New Roman" w:eastAsia="仿宋_GB2312" w:cs="Times New Roman"/>
          <w:sz w:val="32"/>
          <w:szCs w:val="32"/>
          <w:lang w:val="en-US" w:eastAsia="zh-CN"/>
        </w:rPr>
        <w:t>编制的</w:t>
      </w:r>
      <w:r>
        <w:rPr>
          <w:rFonts w:hint="default" w:ascii="Times New Roman" w:hAnsi="Times New Roman" w:eastAsia="仿宋_GB2312" w:cs="Times New Roman"/>
          <w:sz w:val="32"/>
          <w:szCs w:val="32"/>
          <w:lang w:val="en-US" w:eastAsia="zh-CN"/>
        </w:rPr>
        <w:t>《国电电力大港电厂2×600MW关停替代项目（220kV变电站工程）</w:t>
      </w:r>
      <w:r>
        <w:rPr>
          <w:rFonts w:hint="default" w:eastAsia="仿宋_GB2312" w:cs="Times New Roman"/>
          <w:sz w:val="32"/>
          <w:szCs w:val="32"/>
          <w:lang w:val="en-US" w:eastAsia="zh-CN"/>
        </w:rPr>
        <w:t>环境影</w:t>
      </w:r>
      <w:r>
        <w:rPr>
          <w:rFonts w:hint="default" w:ascii="Times New Roman" w:hAnsi="Times New Roman" w:eastAsia="仿宋_GB2312" w:cs="Times New Roman"/>
          <w:sz w:val="32"/>
          <w:szCs w:val="32"/>
        </w:rPr>
        <w:t>响报告表》</w:t>
      </w:r>
      <w:r>
        <w:rPr>
          <w:rFonts w:hint="eastAsia" w:eastAsia="仿宋_GB2312" w:cs="Times New Roman"/>
          <w:sz w:val="32"/>
          <w:szCs w:val="32"/>
          <w:lang w:val="en-US" w:eastAsia="zh-CN"/>
        </w:rPr>
        <w:t>等文件</w:t>
      </w:r>
      <w:r>
        <w:rPr>
          <w:rFonts w:hint="default" w:ascii="Times New Roman" w:hAnsi="Times New Roman" w:eastAsia="仿宋_GB2312" w:cs="Times New Roman"/>
          <w:sz w:val="32"/>
          <w:szCs w:val="32"/>
        </w:rPr>
        <w:t>收悉。经研究，现批复如下：</w:t>
      </w:r>
    </w:p>
    <w:p w14:paraId="131FB32C">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为</w:t>
      </w:r>
      <w:r>
        <w:rPr>
          <w:rFonts w:hint="eastAsia" w:eastAsia="仿宋_GB2312" w:cs="Times New Roman"/>
          <w:color w:val="auto"/>
          <w:sz w:val="32"/>
          <w:szCs w:val="32"/>
          <w:lang w:val="en-US" w:eastAsia="zh-CN"/>
        </w:rPr>
        <w:t>满足</w:t>
      </w:r>
      <w:r>
        <w:rPr>
          <w:rFonts w:hint="default" w:ascii="Times New Roman" w:hAnsi="Times New Roman" w:eastAsia="仿宋_GB2312" w:cs="Times New Roman"/>
          <w:sz w:val="32"/>
          <w:szCs w:val="32"/>
          <w:lang w:val="en-US" w:eastAsia="zh-CN"/>
        </w:rPr>
        <w:t>大港电厂2×600MW关停替代项目</w:t>
      </w:r>
      <w:r>
        <w:rPr>
          <w:rFonts w:hint="eastAsia" w:eastAsia="仿宋_GB2312" w:cs="Times New Roman"/>
          <w:color w:val="auto"/>
          <w:sz w:val="32"/>
          <w:szCs w:val="32"/>
          <w:lang w:val="en-US" w:eastAsia="zh-CN"/>
        </w:rPr>
        <w:t>配套需求，</w:t>
      </w:r>
      <w:r>
        <w:rPr>
          <w:rFonts w:hint="default" w:ascii="Times New Roman" w:hAnsi="Times New Roman" w:eastAsia="仿宋_GB2312" w:cs="Times New Roman"/>
          <w:sz w:val="32"/>
          <w:szCs w:val="32"/>
        </w:rPr>
        <w:t>你公司拟在</w:t>
      </w:r>
      <w:r>
        <w:rPr>
          <w:rFonts w:hint="eastAsia" w:eastAsia="仿宋_GB2312" w:cs="Times New Roman"/>
          <w:sz w:val="32"/>
          <w:szCs w:val="32"/>
          <w:lang w:val="en-US" w:eastAsia="zh-CN"/>
        </w:rPr>
        <w:t>滨海新区大港津歧公路（南）2000号大港电厂用地红线内的现有厂区中部</w:t>
      </w:r>
      <w:r>
        <w:rPr>
          <w:rFonts w:hint="eastAsia" w:eastAsia="仿宋_GB2312"/>
          <w:bCs/>
          <w:sz w:val="32"/>
          <w:szCs w:val="32"/>
          <w:lang w:eastAsia="zh-CN"/>
        </w:rPr>
        <w:t>建设</w:t>
      </w:r>
      <w:r>
        <w:rPr>
          <w:rFonts w:hint="eastAsia" w:eastAsia="仿宋_GB2312"/>
          <w:bCs/>
          <w:sz w:val="32"/>
          <w:szCs w:val="32"/>
          <w:lang w:val="en-US" w:eastAsia="zh-CN"/>
        </w:rPr>
        <w:t>220kV变电站工程</w:t>
      </w:r>
      <w:r>
        <w:rPr>
          <w:rFonts w:hint="eastAsia" w:eastAsia="仿宋_GB2312" w:cs="Times New Roman"/>
          <w:sz w:val="32"/>
          <w:szCs w:val="32"/>
          <w:lang w:val="en" w:eastAsia="zh-CN"/>
        </w:rPr>
        <w:t>（以下简称“工程”）。</w:t>
      </w:r>
      <w:r>
        <w:rPr>
          <w:rFonts w:hint="eastAsia" w:eastAsia="仿宋_GB2312" w:cs="Times New Roman"/>
          <w:sz w:val="32"/>
          <w:szCs w:val="32"/>
          <w:lang w:val="en-US" w:eastAsia="zh-CN"/>
        </w:rPr>
        <w:t>本工程主要建设内容包括</w:t>
      </w:r>
      <w:r>
        <w:rPr>
          <w:rFonts w:hint="eastAsia" w:eastAsia="仿宋_GB2312" w:cs="Times New Roman"/>
          <w:sz w:val="32"/>
          <w:szCs w:val="32"/>
          <w:lang w:val="en" w:eastAsia="zh-CN"/>
        </w:rPr>
        <w:t>新建户外变电站一座，其中布置</w:t>
      </w:r>
      <w:r>
        <w:rPr>
          <w:rFonts w:hint="eastAsia" w:eastAsia="仿宋_GB2312" w:cs="Times New Roman"/>
          <w:sz w:val="32"/>
          <w:szCs w:val="32"/>
          <w:lang w:val="en-US" w:eastAsia="zh-CN"/>
        </w:rPr>
        <w:t>2台</w:t>
      </w:r>
      <w:r>
        <w:rPr>
          <w:rFonts w:hint="eastAsia" w:eastAsia="仿宋_GB2312" w:cs="Times New Roman"/>
          <w:sz w:val="32"/>
          <w:szCs w:val="32"/>
          <w:lang w:val="en" w:eastAsia="zh-CN"/>
        </w:rPr>
        <w:t>容量为</w:t>
      </w:r>
      <w:r>
        <w:rPr>
          <w:rFonts w:hint="eastAsia" w:eastAsia="仿宋_GB2312" w:cs="Times New Roman"/>
          <w:sz w:val="32"/>
          <w:szCs w:val="32"/>
          <w:lang w:val="en-US" w:eastAsia="zh-CN"/>
        </w:rPr>
        <w:t>840MVA的220</w:t>
      </w:r>
      <w:r>
        <w:rPr>
          <w:rFonts w:hint="eastAsia" w:eastAsia="仿宋_GB2312" w:cs="Times New Roman"/>
          <w:sz w:val="32"/>
          <w:szCs w:val="32"/>
          <w:lang w:val="en" w:eastAsia="zh-CN"/>
        </w:rPr>
        <w:t>kV主变压器</w:t>
      </w:r>
      <w:r>
        <w:rPr>
          <w:rFonts w:hint="eastAsia" w:eastAsia="仿宋_GB2312" w:cs="Times New Roman"/>
          <w:sz w:val="32"/>
          <w:szCs w:val="32"/>
          <w:lang w:val="en-US" w:eastAsia="zh-CN"/>
        </w:rPr>
        <w:t>（5#、6#变压器）、1台容量为90MVA的110</w:t>
      </w:r>
      <w:r>
        <w:rPr>
          <w:rFonts w:hint="eastAsia" w:eastAsia="仿宋_GB2312" w:cs="Times New Roman"/>
          <w:sz w:val="32"/>
          <w:szCs w:val="32"/>
          <w:lang w:val="en" w:eastAsia="zh-CN"/>
        </w:rPr>
        <w:t>kV的</w:t>
      </w:r>
      <w:r>
        <w:rPr>
          <w:rFonts w:hint="eastAsia" w:eastAsia="仿宋_GB2312" w:cs="Times New Roman"/>
          <w:sz w:val="32"/>
          <w:szCs w:val="32"/>
          <w:lang w:val="en-US" w:eastAsia="zh-CN"/>
        </w:rPr>
        <w:t>启备变压器、2台容量为90MVA的22</w:t>
      </w:r>
      <w:r>
        <w:rPr>
          <w:rFonts w:hint="eastAsia" w:eastAsia="仿宋_GB2312" w:cs="Times New Roman"/>
          <w:sz w:val="32"/>
          <w:szCs w:val="32"/>
          <w:lang w:val="en" w:eastAsia="zh-CN"/>
        </w:rPr>
        <w:t>kV的高厂变</w:t>
      </w:r>
      <w:r>
        <w:rPr>
          <w:rFonts w:hint="eastAsia" w:eastAsia="仿宋_GB2312" w:cs="Times New Roman"/>
          <w:sz w:val="32"/>
          <w:szCs w:val="32"/>
          <w:lang w:val="en-US" w:eastAsia="zh-CN"/>
        </w:rPr>
        <w:t>压器；自主变压器建设2回220</w:t>
      </w:r>
      <w:r>
        <w:rPr>
          <w:rFonts w:hint="eastAsia" w:eastAsia="仿宋_GB2312" w:cs="Times New Roman"/>
          <w:sz w:val="32"/>
          <w:szCs w:val="32"/>
          <w:lang w:val="en" w:eastAsia="zh-CN"/>
        </w:rPr>
        <w:t>kV</w:t>
      </w:r>
      <w:r>
        <w:rPr>
          <w:rFonts w:hint="eastAsia" w:eastAsia="仿宋_GB2312" w:cs="Times New Roman"/>
          <w:sz w:val="32"/>
          <w:szCs w:val="32"/>
          <w:lang w:val="en-US" w:eastAsia="zh-CN"/>
        </w:rPr>
        <w:t>GIL架空送出线（5#、6#出线）、自启备变压器建设1回110</w:t>
      </w:r>
      <w:r>
        <w:rPr>
          <w:rFonts w:hint="eastAsia" w:eastAsia="仿宋_GB2312" w:cs="Times New Roman"/>
          <w:sz w:val="32"/>
          <w:szCs w:val="32"/>
          <w:lang w:val="en" w:eastAsia="zh-CN"/>
        </w:rPr>
        <w:t>kV电缆送出线，</w:t>
      </w:r>
      <w:r>
        <w:rPr>
          <w:rFonts w:hint="eastAsia" w:eastAsia="仿宋_GB2312" w:cs="Times New Roman"/>
          <w:sz w:val="32"/>
          <w:szCs w:val="32"/>
          <w:lang w:val="en-US" w:eastAsia="zh-CN"/>
        </w:rPr>
        <w:t>5#出线及电缆送出线</w:t>
      </w:r>
      <w:r>
        <w:rPr>
          <w:rFonts w:hint="eastAsia" w:eastAsia="仿宋_GB2312" w:cs="Times New Roman"/>
          <w:sz w:val="32"/>
          <w:szCs w:val="32"/>
          <w:lang w:val="en" w:eastAsia="zh-CN"/>
        </w:rPr>
        <w:t>线路终点为</w:t>
      </w:r>
      <w:r>
        <w:rPr>
          <w:rFonts w:hint="eastAsia" w:eastAsia="仿宋_GB2312" w:cs="Times New Roman"/>
          <w:sz w:val="32"/>
          <w:szCs w:val="32"/>
          <w:lang w:val="en-US" w:eastAsia="zh-CN"/>
        </w:rPr>
        <w:t>2#待建铁塔、路径长度约为430米，6#出线</w:t>
      </w:r>
      <w:r>
        <w:rPr>
          <w:rFonts w:hint="eastAsia" w:eastAsia="仿宋_GB2312" w:cs="Times New Roman"/>
          <w:sz w:val="32"/>
          <w:szCs w:val="32"/>
          <w:lang w:val="en" w:eastAsia="zh-CN"/>
        </w:rPr>
        <w:t>线路终点为</w:t>
      </w:r>
      <w:r>
        <w:rPr>
          <w:rFonts w:hint="eastAsia" w:eastAsia="仿宋_GB2312" w:cs="Times New Roman"/>
          <w:sz w:val="32"/>
          <w:szCs w:val="32"/>
          <w:lang w:val="en-US" w:eastAsia="zh-CN"/>
        </w:rPr>
        <w:t>1#待建铁塔、路径长度约为250米。待建铁塔及</w:t>
      </w:r>
      <w:r>
        <w:rPr>
          <w:rFonts w:hint="eastAsia" w:eastAsia="仿宋_GB2312" w:cs="Times New Roman"/>
          <w:sz w:val="32"/>
          <w:szCs w:val="32"/>
          <w:lang w:val="en" w:eastAsia="zh-CN"/>
        </w:rPr>
        <w:t>后续接线等相关建设内容由其建设主体另行履行环评手续</w:t>
      </w:r>
      <w:r>
        <w:rPr>
          <w:rFonts w:hint="eastAsia" w:eastAsia="仿宋_GB2312" w:cs="Times New Roman"/>
          <w:sz w:val="32"/>
          <w:szCs w:val="32"/>
          <w:lang w:val="en-US" w:eastAsia="zh-CN"/>
        </w:rPr>
        <w:t>。</w:t>
      </w:r>
      <w:r>
        <w:rPr>
          <w:rFonts w:hint="eastAsia" w:eastAsia="仿宋_GB2312"/>
          <w:bCs/>
          <w:sz w:val="32"/>
          <w:szCs w:val="32"/>
          <w:lang w:eastAsia="zh-CN"/>
        </w:rPr>
        <w:t>工程</w:t>
      </w:r>
      <w:r>
        <w:rPr>
          <w:rFonts w:hint="default" w:eastAsia="仿宋_GB2312"/>
          <w:bCs/>
          <w:sz w:val="32"/>
          <w:szCs w:val="32"/>
        </w:rPr>
        <w:t>总投资为</w:t>
      </w:r>
      <w:r>
        <w:rPr>
          <w:rFonts w:hint="eastAsia" w:eastAsia="仿宋_GB2312"/>
          <w:bCs/>
          <w:sz w:val="32"/>
          <w:szCs w:val="32"/>
          <w:lang w:val="en-US" w:eastAsia="zh-CN"/>
        </w:rPr>
        <w:t>8800</w:t>
      </w:r>
      <w:r>
        <w:rPr>
          <w:rFonts w:hint="default" w:eastAsia="仿宋_GB2312"/>
          <w:bCs/>
          <w:sz w:val="32"/>
          <w:szCs w:val="32"/>
        </w:rPr>
        <w:t>万元，环保投资</w:t>
      </w:r>
      <w:r>
        <w:rPr>
          <w:rFonts w:hint="eastAsia" w:eastAsia="仿宋_GB2312"/>
          <w:bCs/>
          <w:sz w:val="32"/>
          <w:szCs w:val="32"/>
          <w:lang w:val="en-US" w:eastAsia="zh-CN"/>
        </w:rPr>
        <w:t>39</w:t>
      </w:r>
      <w:r>
        <w:rPr>
          <w:rFonts w:hint="default" w:eastAsia="仿宋_GB2312"/>
          <w:bCs/>
          <w:sz w:val="32"/>
          <w:szCs w:val="32"/>
        </w:rPr>
        <w:t>万元，约占总投资的</w:t>
      </w:r>
      <w:r>
        <w:rPr>
          <w:rFonts w:hint="eastAsia" w:eastAsia="仿宋_GB2312" w:cs="Times New Roman"/>
          <w:sz w:val="32"/>
          <w:szCs w:val="32"/>
          <w:lang w:val="en-US" w:eastAsia="zh-CN"/>
        </w:rPr>
        <w:t>0.44</w:t>
      </w:r>
      <w:r>
        <w:rPr>
          <w:rFonts w:hint="default" w:ascii="Times New Roman" w:hAnsi="Times New Roman" w:eastAsia="仿宋_GB2312" w:cs="Times New Roman"/>
          <w:sz w:val="32"/>
          <w:szCs w:val="32"/>
        </w:rPr>
        <w:t>%。</w:t>
      </w:r>
    </w:p>
    <w:p w14:paraId="6A0711E1">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日至</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日，我局将该</w:t>
      </w:r>
      <w:r>
        <w:rPr>
          <w:rFonts w:hint="eastAsia" w:eastAsia="仿宋_GB2312"/>
          <w:bCs/>
          <w:sz w:val="32"/>
          <w:szCs w:val="32"/>
          <w:lang w:eastAsia="zh-CN"/>
        </w:rPr>
        <w:t>工程</w:t>
      </w:r>
      <w:r>
        <w:rPr>
          <w:rFonts w:hint="default" w:ascii="Times New Roman" w:hAnsi="Times New Roman" w:eastAsia="仿宋_GB2312" w:cs="Times New Roman"/>
          <w:sz w:val="32"/>
          <w:szCs w:val="32"/>
          <w:lang w:eastAsia="zh-CN"/>
        </w:rPr>
        <w:t>环评</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受理情况进行</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公示</w:t>
      </w:r>
      <w:r>
        <w:rPr>
          <w:rFonts w:hint="default" w:eastAsia="仿宋_GB2312" w:cs="Times New Roman"/>
          <w:sz w:val="32"/>
          <w:szCs w:val="32"/>
          <w:lang w:val="en-US" w:eastAsia="zh-CN"/>
        </w:rPr>
        <w:t>；</w:t>
      </w: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1</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日至</w:t>
      </w: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lang w:val="en-US" w:eastAsia="zh-CN"/>
        </w:rPr>
        <w:t>日</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rPr>
        <w:t>将该</w:t>
      </w:r>
      <w:r>
        <w:rPr>
          <w:rFonts w:hint="eastAsia" w:eastAsia="仿宋_GB2312"/>
          <w:bCs/>
          <w:sz w:val="32"/>
          <w:szCs w:val="32"/>
          <w:lang w:eastAsia="zh-CN"/>
        </w:rPr>
        <w:t>工程</w:t>
      </w:r>
      <w:r>
        <w:rPr>
          <w:rFonts w:hint="default" w:ascii="Times New Roman" w:hAnsi="Times New Roman" w:eastAsia="仿宋_GB2312" w:cs="Times New Roman"/>
          <w:sz w:val="32"/>
          <w:szCs w:val="32"/>
          <w:lang w:eastAsia="zh-CN"/>
        </w:rPr>
        <w:t>环评</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拟批复情况进行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rPr>
        <w:t>公示；根据公众反馈意见情况及环评报告结论，在严格落实环评报告所提出的各项污染防治措施、确保各类污染物稳定达标的前提下，</w:t>
      </w:r>
      <w:r>
        <w:rPr>
          <w:rFonts w:hint="eastAsia" w:eastAsia="仿宋_GB2312" w:cs="Times New Roman"/>
          <w:sz w:val="32"/>
          <w:szCs w:val="32"/>
          <w:lang w:val="en-US" w:eastAsia="zh-CN"/>
        </w:rPr>
        <w:t>该</w:t>
      </w:r>
      <w:r>
        <w:rPr>
          <w:rFonts w:hint="eastAsia" w:eastAsia="仿宋_GB2312"/>
          <w:bCs/>
          <w:sz w:val="32"/>
          <w:szCs w:val="32"/>
          <w:lang w:eastAsia="zh-CN"/>
        </w:rPr>
        <w:t>工程</w:t>
      </w:r>
      <w:r>
        <w:rPr>
          <w:rFonts w:hint="eastAsia" w:eastAsia="仿宋_GB2312" w:cs="Times New Roman"/>
          <w:sz w:val="32"/>
          <w:szCs w:val="32"/>
          <w:lang w:val="en-US" w:eastAsia="zh-CN"/>
        </w:rPr>
        <w:t>具备环境可行性</w:t>
      </w:r>
      <w:r>
        <w:rPr>
          <w:rFonts w:hint="default" w:ascii="Times New Roman" w:hAnsi="Times New Roman" w:eastAsia="仿宋_GB2312" w:cs="Times New Roman"/>
          <w:sz w:val="32"/>
          <w:szCs w:val="32"/>
        </w:rPr>
        <w:t>。</w:t>
      </w:r>
    </w:p>
    <w:p w14:paraId="2BED1A62">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eastAsia" w:eastAsia="仿宋_GB2312"/>
          <w:bCs/>
          <w:sz w:val="32"/>
          <w:szCs w:val="32"/>
          <w:lang w:eastAsia="zh-CN"/>
        </w:rPr>
        <w:t>工程</w:t>
      </w:r>
      <w:r>
        <w:rPr>
          <w:rFonts w:hint="default" w:ascii="Times New Roman" w:hAnsi="Times New Roman" w:eastAsia="仿宋_GB2312" w:cs="Times New Roman"/>
          <w:sz w:val="32"/>
          <w:szCs w:val="32"/>
        </w:rPr>
        <w:t>建设和运营期间，你公司应重点做好以下工作：</w:t>
      </w:r>
    </w:p>
    <w:p w14:paraId="19E7B148">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1.施工期间应严格执行国家相关环保法律法规和落实环评报告中提出的污染防范措施：做到合法施工，文明生产，减少扬尘污染；</w:t>
      </w:r>
      <w:r>
        <w:rPr>
          <w:rFonts w:hint="eastAsia" w:eastAsia="仿宋_GB2312"/>
          <w:sz w:val="32"/>
          <w:szCs w:val="32"/>
        </w:rPr>
        <w:t>施工</w:t>
      </w:r>
      <w:r>
        <w:rPr>
          <w:rFonts w:hint="eastAsia" w:eastAsia="仿宋_GB2312"/>
          <w:sz w:val="32"/>
          <w:szCs w:val="32"/>
          <w:lang w:eastAsia="zh-CN"/>
        </w:rPr>
        <w:t>产生的</w:t>
      </w:r>
      <w:r>
        <w:rPr>
          <w:rFonts w:hint="default" w:ascii="Times New Roman" w:hAnsi="Times New Roman" w:eastAsia="仿宋_GB2312" w:cs="Times New Roman"/>
          <w:sz w:val="32"/>
          <w:szCs w:val="32"/>
        </w:rPr>
        <w:t>车辆</w:t>
      </w:r>
      <w:r>
        <w:rPr>
          <w:rFonts w:hint="eastAsia" w:eastAsia="仿宋_GB2312" w:cs="Times New Roman"/>
          <w:sz w:val="32"/>
          <w:szCs w:val="32"/>
          <w:lang w:val="en-US" w:eastAsia="zh-CN"/>
        </w:rPr>
        <w:t>冲洗</w:t>
      </w:r>
      <w:r>
        <w:rPr>
          <w:rFonts w:hint="default" w:ascii="Times New Roman" w:hAnsi="Times New Roman" w:eastAsia="仿宋_GB2312" w:cs="Times New Roman"/>
          <w:sz w:val="32"/>
          <w:szCs w:val="32"/>
        </w:rPr>
        <w:t>废水</w:t>
      </w:r>
      <w:r>
        <w:rPr>
          <w:rFonts w:hint="eastAsia" w:eastAsia="仿宋_GB2312" w:cs="Times New Roman"/>
          <w:sz w:val="32"/>
          <w:szCs w:val="32"/>
          <w:lang w:val="en-US" w:eastAsia="zh-CN"/>
        </w:rPr>
        <w:t>等</w:t>
      </w:r>
      <w:r>
        <w:rPr>
          <w:rFonts w:hint="eastAsia" w:ascii="Times New Roman" w:hAnsi="Times New Roman" w:eastAsia="仿宋_GB2312" w:cs="Times New Roman"/>
          <w:sz w:val="32"/>
          <w:szCs w:val="32"/>
          <w:lang w:val="en-US" w:eastAsia="zh-CN"/>
        </w:rPr>
        <w:t>经沉淀后用于</w:t>
      </w:r>
      <w:r>
        <w:rPr>
          <w:rFonts w:hint="default" w:ascii="Times New Roman" w:hAnsi="Times New Roman" w:eastAsia="仿宋_GB2312" w:cs="Times New Roman"/>
          <w:sz w:val="32"/>
          <w:szCs w:val="32"/>
          <w:lang w:val="en-US" w:eastAsia="zh-CN"/>
        </w:rPr>
        <w:t>施工现场洒水抑尘</w:t>
      </w:r>
      <w:r>
        <w:rPr>
          <w:rFonts w:hint="eastAsia" w:eastAsia="仿宋_GB2312"/>
          <w:sz w:val="32"/>
          <w:szCs w:val="32"/>
          <w:lang w:val="en-US" w:eastAsia="zh-CN"/>
        </w:rPr>
        <w:t>，施工期产生的固体废物运至指定地点进行妥善处置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合理安排施工</w:t>
      </w:r>
      <w:r>
        <w:rPr>
          <w:rFonts w:hint="eastAsia" w:eastAsia="仿宋_GB2312" w:cs="Times New Roman"/>
          <w:sz w:val="32"/>
          <w:szCs w:val="32"/>
          <w:lang w:eastAsia="zh-CN"/>
        </w:rPr>
        <w:t>时序</w:t>
      </w:r>
      <w:r>
        <w:rPr>
          <w:rFonts w:hint="default" w:ascii="Times New Roman" w:hAnsi="Times New Roman" w:eastAsia="仿宋_GB2312" w:cs="Times New Roman"/>
          <w:sz w:val="32"/>
          <w:szCs w:val="32"/>
        </w:rPr>
        <w:t>和施工区域，加强对高噪声机械的管理</w:t>
      </w:r>
      <w:r>
        <w:rPr>
          <w:rFonts w:hint="eastAsia" w:eastAsia="仿宋_GB2312" w:cs="Times New Roman"/>
          <w:sz w:val="32"/>
          <w:szCs w:val="32"/>
          <w:lang w:eastAsia="zh-CN"/>
        </w:rPr>
        <w:t>，</w:t>
      </w:r>
      <w:r>
        <w:rPr>
          <w:rFonts w:hint="eastAsia" w:eastAsia="仿宋_GB2312" w:cs="Times New Roman"/>
          <w:sz w:val="32"/>
          <w:szCs w:val="32"/>
          <w:lang w:val="en-US" w:eastAsia="zh-CN"/>
        </w:rPr>
        <w:t>采取有效的隔声、降噪及减振措施。</w:t>
      </w:r>
    </w:p>
    <w:p w14:paraId="4EEEBA8D">
      <w:pPr>
        <w:keepNext w:val="0"/>
        <w:keepLines w:val="0"/>
        <w:pageBreakBefore w:val="0"/>
        <w:widowControl w:val="0"/>
        <w:kinsoku/>
        <w:wordWrap/>
        <w:overflowPunct/>
        <w:topLinePunct w:val="0"/>
        <w:autoSpaceDE/>
        <w:autoSpaceDN/>
        <w:bidi w:val="0"/>
        <w:snapToGrid/>
        <w:spacing w:line="6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施工过程中要</w:t>
      </w:r>
      <w:r>
        <w:rPr>
          <w:rFonts w:hint="default" w:ascii="Times New Roman" w:hAnsi="Times New Roman" w:eastAsia="仿宋_GB2312" w:cs="Times New Roman"/>
          <w:sz w:val="32"/>
          <w:szCs w:val="32"/>
          <w:lang w:val="en-US" w:eastAsia="zh-CN"/>
        </w:rPr>
        <w:t>采取全面的生态保护和水土保持措施</w:t>
      </w:r>
      <w:r>
        <w:rPr>
          <w:rFonts w:hint="eastAsia" w:eastAsia="仿宋_GB2312" w:cs="Times New Roman"/>
          <w:sz w:val="32"/>
          <w:szCs w:val="32"/>
          <w:lang w:val="en-US" w:eastAsia="zh-CN"/>
        </w:rPr>
        <w:t>；</w:t>
      </w:r>
      <w:r>
        <w:rPr>
          <w:rFonts w:hint="eastAsia" w:eastAsia="仿宋_GB2312" w:cs="Times New Roman"/>
          <w:sz w:val="32"/>
          <w:szCs w:val="32"/>
          <w:lang w:eastAsia="zh-CN"/>
        </w:rPr>
        <w:t>严格控制临时用地边界，并按要求及时做好生态恢复</w:t>
      </w:r>
      <w:r>
        <w:rPr>
          <w:rFonts w:hint="eastAsia" w:ascii="Times New Roman" w:hAnsi="Times New Roman" w:eastAsia="仿宋_GB2312" w:cs="Times New Roman"/>
          <w:sz w:val="32"/>
          <w:szCs w:val="32"/>
          <w:lang w:val="en-US" w:eastAsia="zh-CN"/>
        </w:rPr>
        <w:t>。</w:t>
      </w:r>
    </w:p>
    <w:p w14:paraId="6B1E605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选用低噪声设备，</w:t>
      </w:r>
      <w:r>
        <w:rPr>
          <w:rFonts w:hint="eastAsia" w:eastAsia="仿宋_GB2312" w:cs="Times New Roman"/>
          <w:sz w:val="32"/>
          <w:szCs w:val="32"/>
          <w:lang w:val="en-US" w:eastAsia="zh-CN"/>
        </w:rPr>
        <w:t>确保</w:t>
      </w:r>
      <w:r>
        <w:rPr>
          <w:rFonts w:hint="default" w:ascii="Times New Roman" w:hAnsi="Times New Roman" w:eastAsia="仿宋_GB2312" w:cs="Times New Roman"/>
          <w:sz w:val="32"/>
          <w:szCs w:val="32"/>
          <w:lang w:val="en-US" w:eastAsia="zh-CN"/>
        </w:rPr>
        <w:t>厂界噪声</w:t>
      </w:r>
      <w:r>
        <w:rPr>
          <w:rFonts w:hint="eastAsia" w:ascii="Times New Roman" w:hAnsi="Times New Roman" w:eastAsia="仿宋_GB2312" w:cs="Times New Roman"/>
          <w:sz w:val="32"/>
          <w:szCs w:val="32"/>
          <w:lang w:val="en-US" w:eastAsia="zh-CN"/>
        </w:rPr>
        <w:t>排放达标。</w:t>
      </w:r>
    </w:p>
    <w:p w14:paraId="0CC6714D">
      <w:pPr>
        <w:pStyle w:val="2"/>
        <w:pageBreakBefore w:val="0"/>
        <w:widowControl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项目</w:t>
      </w:r>
      <w:r>
        <w:rPr>
          <w:rFonts w:hint="eastAsia" w:eastAsia="仿宋_GB2312" w:cs="Times New Roman"/>
          <w:sz w:val="32"/>
          <w:szCs w:val="32"/>
          <w:lang w:val="en-US" w:eastAsia="zh-CN"/>
        </w:rPr>
        <w:t>不新增劳动定员及生活污水</w:t>
      </w:r>
      <w:r>
        <w:rPr>
          <w:rFonts w:hint="eastAsia" w:eastAsia="仿宋_GB2312" w:cs="Times New Roman"/>
          <w:sz w:val="32"/>
          <w:szCs w:val="32"/>
          <w:highlight w:val="none"/>
          <w:lang w:eastAsia="zh-CN"/>
        </w:rPr>
        <w:t>。</w:t>
      </w:r>
    </w:p>
    <w:p w14:paraId="5D5579F4">
      <w:pPr>
        <w:keepNext w:val="0"/>
        <w:keepLines w:val="0"/>
        <w:pageBreakBefore w:val="0"/>
        <w:widowControl w:val="0"/>
        <w:kinsoku/>
        <w:wordWrap/>
        <w:overflowPunct/>
        <w:topLinePunct w:val="0"/>
        <w:autoSpaceDE/>
        <w:autoSpaceDN/>
        <w:bidi w:val="0"/>
        <w:adjustRightInd/>
        <w:snapToGrid/>
        <w:spacing w:line="360" w:lineRule="auto"/>
        <w:ind w:firstLine="630"/>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做好各类固体废物的收集、贮存、运输和处置，做到资源化、减量化、无害化。变电站若出现变压器油泄露，泄露的变压器油</w:t>
      </w:r>
      <w:r>
        <w:rPr>
          <w:rFonts w:hint="eastAsia" w:eastAsia="仿宋_GB2312" w:cs="Times New Roman"/>
          <w:sz w:val="32"/>
          <w:szCs w:val="32"/>
          <w:lang w:eastAsia="zh-CN"/>
        </w:rPr>
        <w:t>可经排油管道进入下方设置事故池暂存</w:t>
      </w:r>
      <w:r>
        <w:rPr>
          <w:rFonts w:hint="eastAsia" w:eastAsia="仿宋_GB2312" w:cs="Times New Roman"/>
          <w:sz w:val="32"/>
          <w:szCs w:val="32"/>
          <w:lang w:val="en-US" w:eastAsia="zh-CN"/>
        </w:rPr>
        <w:t>，池容量应满足收纳变压器的事故漏油量。含油抹布及手套依托</w:t>
      </w:r>
      <w:r>
        <w:rPr>
          <w:rFonts w:hint="default" w:ascii="Times New Roman" w:hAnsi="Times New Roman" w:eastAsia="仿宋_GB2312" w:cs="Times New Roman"/>
          <w:sz w:val="32"/>
          <w:szCs w:val="32"/>
          <w:lang w:val="en-US" w:eastAsia="zh-CN"/>
        </w:rPr>
        <w:t>大港电厂2×600MW关停替代项目</w:t>
      </w:r>
      <w:r>
        <w:rPr>
          <w:rFonts w:hint="eastAsia" w:eastAsia="仿宋_GB2312" w:cs="Times New Roman"/>
          <w:sz w:val="32"/>
          <w:szCs w:val="32"/>
          <w:lang w:val="en-US" w:eastAsia="zh-CN"/>
        </w:rPr>
        <w:t>拟建危废暂存间暂存，维修或事故状态产生的废变压器油不在现场存放，做到“即产即清”。以上危险废物均委托有相应资质的单位进行处理、处置。</w:t>
      </w:r>
    </w:p>
    <w:p w14:paraId="256F6553">
      <w:pPr>
        <w:keepNext w:val="0"/>
        <w:keepLines w:val="0"/>
        <w:pageBreakBefore w:val="0"/>
        <w:widowControl w:val="0"/>
        <w:kinsoku/>
        <w:wordWrap/>
        <w:overflowPunct/>
        <w:topLinePunct w:val="0"/>
        <w:autoSpaceDE/>
        <w:autoSpaceDN/>
        <w:bidi w:val="0"/>
        <w:adjustRightInd/>
        <w:snapToGrid/>
        <w:spacing w:line="360" w:lineRule="auto"/>
        <w:ind w:firstLine="630"/>
        <w:outlineLvl w:val="9"/>
        <w:rPr>
          <w:rFonts w:hint="default" w:ascii="Times New Roman" w:hAnsi="Times New Roman" w:eastAsia="仿宋_GB2312" w:cs="Times New Roman"/>
          <w:color w:val="auto"/>
          <w:sz w:val="32"/>
          <w:szCs w:val="32"/>
        </w:rPr>
      </w:pP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严格落实</w:t>
      </w:r>
      <w:r>
        <w:rPr>
          <w:rFonts w:hint="default" w:ascii="Times New Roman" w:hAnsi="Times New Roman" w:eastAsia="仿宋_GB2312" w:cs="Times New Roman"/>
          <w:color w:val="auto"/>
          <w:sz w:val="32"/>
          <w:szCs w:val="32"/>
        </w:rPr>
        <w:t>控制工频电场、工频磁场的各项环境保护措施，确保</w:t>
      </w:r>
      <w:r>
        <w:rPr>
          <w:rFonts w:hint="eastAsia" w:eastAsia="仿宋_GB2312" w:cs="Times New Roman"/>
          <w:color w:val="auto"/>
          <w:sz w:val="32"/>
          <w:szCs w:val="32"/>
          <w:lang w:eastAsia="zh-CN"/>
        </w:rPr>
        <w:t>升压站外</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工频电场强度、工频磁感应强度符合《电磁环境控制限值》限值要求。</w:t>
      </w:r>
    </w:p>
    <w:p w14:paraId="7F27063D">
      <w:pPr>
        <w:pStyle w:val="2"/>
        <w:pageBreakBefore w:val="0"/>
        <w:widowControl w:val="0"/>
        <w:kinsoku/>
        <w:wordWrap/>
        <w:overflowPunct/>
        <w:topLinePunct w:val="0"/>
        <w:autoSpaceDE/>
        <w:autoSpaceDN/>
        <w:bidi w:val="0"/>
        <w:adjustRightInd/>
        <w:snapToGrid/>
        <w:spacing w:line="360" w:lineRule="auto"/>
        <w:ind w:firstLine="640" w:firstLineChars="200"/>
        <w:rPr>
          <w:rFonts w:hint="default"/>
        </w:rPr>
      </w:pPr>
      <w:r>
        <w:rPr>
          <w:rFonts w:hint="eastAsia" w:eastAsia="仿宋_GB2312"/>
          <w:lang w:val="en-US" w:eastAsia="zh-CN"/>
        </w:rPr>
        <w:t>7.制订环境风险事故应急预案，并向区生态环境局备案；认真落实风险事故防范措施及应急处理措施，做好风险事故防范措施及应急处理措施的合理衔接工作，杜绝发生环境事故和次生环境事故。</w:t>
      </w:r>
    </w:p>
    <w:p w14:paraId="27FBAD6B">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三、该</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无新增污染物排放总量。</w:t>
      </w:r>
    </w:p>
    <w:p w14:paraId="64589867">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建设应严格执行环境保护设施与主体工程同时设计、同时施工、同时投产使用的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eastAsia" w:eastAsia="仿宋_GB2312" w:cs="Times New Roman"/>
          <w:sz w:val="32"/>
          <w:szCs w:val="32"/>
          <w:lang w:eastAsia="zh-CN"/>
        </w:rPr>
        <w:t>；</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竣工后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你公司应按规定的标准和程序开展环境保护验收，经验收合格后方可正式投入运营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若</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的性质、规模、地点、生产工艺或防治污染</w:t>
      </w:r>
      <w:r>
        <w:rPr>
          <w:rFonts w:hint="eastAsia" w:eastAsia="仿宋_GB2312" w:cs="Times New Roman"/>
          <w:sz w:val="32"/>
          <w:szCs w:val="32"/>
          <w:lang w:eastAsia="zh-CN"/>
        </w:rPr>
        <w:t>、生态环境保护</w:t>
      </w:r>
      <w:r>
        <w:rPr>
          <w:rFonts w:hint="default" w:ascii="Times New Roman" w:hAnsi="Times New Roman" w:eastAsia="仿宋_GB2312" w:cs="Times New Roman"/>
          <w:sz w:val="32"/>
          <w:szCs w:val="32"/>
        </w:rPr>
        <w:t>的措施发生重大变动，要重新报批环境影响评价文件。</w:t>
      </w:r>
    </w:p>
    <w:p w14:paraId="24615636">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五</w:t>
      </w:r>
      <w:r>
        <w:rPr>
          <w:rFonts w:hint="default" w:ascii="Times New Roman" w:hAnsi="Times New Roman" w:eastAsia="仿宋_GB2312" w:cs="Times New Roman"/>
          <w:sz w:val="32"/>
          <w:szCs w:val="32"/>
        </w:rPr>
        <w:t>、</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应执行以下</w:t>
      </w:r>
      <w:r>
        <w:rPr>
          <w:rFonts w:hint="eastAsia" w:eastAsia="仿宋_GB2312" w:cs="Times New Roman"/>
          <w:sz w:val="32"/>
          <w:szCs w:val="32"/>
          <w:lang w:eastAsia="zh-CN"/>
        </w:rPr>
        <w:t>排放</w:t>
      </w:r>
      <w:r>
        <w:rPr>
          <w:rFonts w:hint="default" w:ascii="Times New Roman" w:hAnsi="Times New Roman" w:eastAsia="仿宋_GB2312" w:cs="Times New Roman"/>
          <w:sz w:val="32"/>
          <w:szCs w:val="32"/>
        </w:rPr>
        <w:t>标准：</w:t>
      </w:r>
    </w:p>
    <w:p w14:paraId="419ED54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《建筑施工场界环境噪声排放标准》（GB12523-2011）</w:t>
      </w:r>
      <w:r>
        <w:rPr>
          <w:rFonts w:hint="eastAsia" w:eastAsia="仿宋_GB2312" w:cs="Times New Roman"/>
          <w:sz w:val="32"/>
          <w:szCs w:val="32"/>
          <w:lang w:eastAsia="zh-CN"/>
        </w:rPr>
        <w:t>；</w:t>
      </w:r>
    </w:p>
    <w:p w14:paraId="45416246">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lang w:val="en-US" w:eastAsia="zh-CN"/>
        </w:rPr>
      </w:pP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工业企业厂界环境噪声排放标准》</w:t>
      </w:r>
      <w:r>
        <w:rPr>
          <w:rFonts w:hint="eastAsia" w:ascii="Times New Roman" w:hAnsi="Times New Roman" w:eastAsia="仿宋_GB2312" w:cs="Times New Roman"/>
          <w:sz w:val="32"/>
          <w:szCs w:val="32"/>
        </w:rPr>
        <w:t>（GB12348-2008）</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rPr>
        <w:t>类；</w:t>
      </w:r>
    </w:p>
    <w:p w14:paraId="19AD4EE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rPr>
        <w:t>《危险废物贮存污染控制标准》（GB18597-20</w:t>
      </w:r>
      <w:r>
        <w:rPr>
          <w:rFonts w:hint="eastAsia" w:ascii="Times New Roman" w:hAnsi="Times New Roman" w:eastAsia="仿宋_GB2312" w:cs="Times New Roman"/>
          <w:sz w:val="32"/>
          <w:szCs w:val="32"/>
          <w:lang w:val="en-US" w:eastAsia="zh-CN"/>
        </w:rPr>
        <w:t>23</w:t>
      </w:r>
      <w:r>
        <w:rPr>
          <w:rFonts w:hint="eastAsia" w:ascii="Times New Roman" w:hAnsi="Times New Roman" w:eastAsia="仿宋_GB2312" w:cs="Times New Roman"/>
          <w:sz w:val="32"/>
          <w:szCs w:val="32"/>
        </w:rPr>
        <w:t>）；</w:t>
      </w:r>
    </w:p>
    <w:p w14:paraId="4B20784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《危险废物收集 贮存 运输技术规范</w:t>
      </w: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HJ2025-2012</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w:t>
      </w:r>
    </w:p>
    <w:p w14:paraId="3A74B166">
      <w:pPr>
        <w:pageBreakBefore w:val="0"/>
        <w:widowControl w:val="0"/>
        <w:kinsoku/>
        <w:wordWrap/>
        <w:overflowPunct/>
        <w:topLinePunct w:val="0"/>
        <w:autoSpaceDE/>
        <w:autoSpaceDN/>
        <w:bidi w:val="0"/>
        <w:adjustRightInd/>
        <w:snapToGrid/>
        <w:spacing w:line="540" w:lineRule="exact"/>
        <w:ind w:firstLine="630"/>
        <w:textAlignment w:val="baseline"/>
        <w:rPr>
          <w:rFonts w:hint="eastAsia" w:eastAsia="仿宋_GB2312" w:cs="Times New Roman"/>
          <w:sz w:val="32"/>
          <w:szCs w:val="32"/>
          <w:lang w:eastAsia="zh-CN"/>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《电磁环境控制限值》（GB8702-2014）</w:t>
      </w:r>
      <w:r>
        <w:rPr>
          <w:rFonts w:hint="eastAsia" w:eastAsia="仿宋_GB2312" w:cs="Times New Roman"/>
          <w:sz w:val="32"/>
          <w:szCs w:val="32"/>
          <w:lang w:eastAsia="zh-CN"/>
        </w:rPr>
        <w:t>。</w:t>
      </w:r>
    </w:p>
    <w:p w14:paraId="6A18A1E4">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sz w:val="32"/>
          <w:szCs w:val="32"/>
        </w:rPr>
      </w:pPr>
      <w:r>
        <w:rPr>
          <w:rFonts w:hint="default" w:ascii="Times New Roman" w:hAnsi="Times New Roman" w:eastAsia="仿宋_GB2312" w:cs="Times New Roman"/>
          <w:sz w:val="32"/>
          <w:szCs w:val="32"/>
        </w:rPr>
        <w:t>此复</w:t>
      </w:r>
      <w:r>
        <w:rPr>
          <w:rFonts w:hint="eastAsia" w:eastAsia="仿宋_GB2312" w:cs="Times New Roman"/>
          <w:sz w:val="32"/>
          <w:szCs w:val="32"/>
          <w:lang w:eastAsia="zh-CN"/>
        </w:rPr>
        <w:t>。</w:t>
      </w:r>
    </w:p>
    <w:p w14:paraId="3E6B6EAC">
      <w:pPr>
        <w:rPr>
          <w:rFonts w:hint="default"/>
          <w:sz w:val="32"/>
          <w:szCs w:val="32"/>
        </w:rPr>
      </w:pPr>
    </w:p>
    <w:p w14:paraId="61A33DB5">
      <w:pPr>
        <w:rPr>
          <w:rFonts w:hint="default"/>
          <w:sz w:val="32"/>
          <w:szCs w:val="32"/>
        </w:rPr>
      </w:pPr>
    </w:p>
    <w:p w14:paraId="5936BD17">
      <w:pPr>
        <w:pStyle w:val="2"/>
        <w:rPr>
          <w:rFonts w:hint="default"/>
        </w:rPr>
      </w:pPr>
    </w:p>
    <w:p w14:paraId="6F4A177C">
      <w:pPr>
        <w:wordWrap w:val="0"/>
        <w:ind w:firstLine="5120" w:firstLineChars="1600"/>
        <w:jc w:val="both"/>
        <w:rPr>
          <w:rFonts w:hint="eastAsia" w:eastAsia="仿宋_GB2312"/>
          <w:sz w:val="32"/>
          <w:lang w:val="en-US" w:eastAsia="zh-CN"/>
        </w:rPr>
      </w:pPr>
      <w:r>
        <w:rPr>
          <w:rFonts w:hint="eastAsia" w:eastAsia="仿宋_GB2312"/>
          <w:sz w:val="32"/>
        </w:rPr>
        <w:t xml:space="preserve"> </w:t>
      </w:r>
      <w:r>
        <w:rPr>
          <w:rFonts w:hint="eastAsia" w:eastAsia="仿宋_GB2312"/>
          <w:sz w:val="32"/>
          <w:lang w:val="en-US" w:eastAsia="zh-CN"/>
        </w:rPr>
        <w:t xml:space="preserve">2025年8月21日  </w:t>
      </w:r>
    </w:p>
    <w:p w14:paraId="783FE7CA">
      <w:pPr>
        <w:rPr>
          <w:rFonts w:hint="eastAsia" w:eastAsia="仿宋_GB2312"/>
          <w:sz w:val="32"/>
          <w:lang w:val="en-US" w:eastAsia="zh-CN"/>
        </w:rPr>
      </w:pPr>
    </w:p>
    <w:p w14:paraId="3E51FB02">
      <w:pPr>
        <w:pStyle w:val="2"/>
        <w:rPr>
          <w:rFonts w:hint="eastAsia"/>
          <w:lang w:val="en-US" w:eastAsia="zh-CN"/>
        </w:rPr>
      </w:pPr>
    </w:p>
    <w:p w14:paraId="22C5B7A9">
      <w:pPr>
        <w:rPr>
          <w:rFonts w:hint="eastAsia"/>
          <w:lang w:val="en-US" w:eastAsia="zh-CN"/>
        </w:rPr>
      </w:pPr>
    </w:p>
    <w:p w14:paraId="641D8184">
      <w:pPr>
        <w:pStyle w:val="2"/>
        <w:rPr>
          <w:rFonts w:hint="eastAsia"/>
          <w:lang w:val="en-US" w:eastAsia="zh-CN"/>
        </w:rPr>
      </w:pPr>
    </w:p>
    <w:p w14:paraId="3FDE3D8F">
      <w:pPr>
        <w:wordWrap w:val="0"/>
        <w:ind w:firstLine="5120" w:firstLineChars="1600"/>
        <w:jc w:val="both"/>
        <w:rPr>
          <w:rFonts w:hint="eastAsia"/>
          <w:sz w:val="15"/>
          <w:szCs w:val="15"/>
          <w:lang w:val="en-US" w:eastAsia="zh-CN"/>
        </w:rPr>
      </w:pPr>
      <w:r>
        <w:rPr>
          <w:rFonts w:hint="eastAsia" w:eastAsia="仿宋_GB2312"/>
          <w:sz w:val="32"/>
          <w:lang w:val="en-US" w:eastAsia="zh-CN"/>
        </w:rPr>
        <w:t xml:space="preserve"> </w:t>
      </w:r>
    </w:p>
    <w:p w14:paraId="20BAA070">
      <w:pPr>
        <w:spacing w:line="680" w:lineRule="exact"/>
        <w:rPr>
          <w:rFonts w:hint="eastAsia" w:eastAsia="仿宋_GB2312"/>
          <w:sz w:val="28"/>
          <w:szCs w:val="28"/>
        </w:rPr>
      </w:pPr>
      <w:r>
        <w:rPr>
          <w:rFonts w:eastAsia="仿宋_GB2312"/>
          <w:sz w:val="28"/>
          <w:szCs w:val="28"/>
        </w:rPr>
        <w:t>主题词：环境影响 报告</w:t>
      </w:r>
      <w:r>
        <w:rPr>
          <w:rFonts w:hint="eastAsia" w:eastAsia="仿宋_GB2312"/>
          <w:sz w:val="28"/>
          <w:szCs w:val="28"/>
          <w:lang w:eastAsia="zh-CN"/>
        </w:rPr>
        <w:t>表</w:t>
      </w:r>
      <w:r>
        <w:rPr>
          <w:rFonts w:eastAsia="仿宋_GB2312"/>
          <w:sz w:val="28"/>
          <w:szCs w:val="28"/>
        </w:rPr>
        <w:t xml:space="preserve"> 批复     </w:t>
      </w:r>
      <w:r>
        <w:rPr>
          <w:rFonts w:hint="eastAsia" w:eastAsia="仿宋_GB2312"/>
          <w:sz w:val="28"/>
          <w:szCs w:val="28"/>
          <w:lang w:val="en-US" w:eastAsia="zh-CN"/>
        </w:rPr>
        <w:t xml:space="preserve"> </w:t>
      </w:r>
      <w:r>
        <w:rPr>
          <w:rFonts w:eastAsia="仿宋_GB2312"/>
          <w:sz w:val="28"/>
          <w:szCs w:val="28"/>
        </w:rPr>
        <w:t xml:space="preserve">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 xml:space="preserve">  （</w:t>
      </w:r>
      <w:r>
        <w:rPr>
          <w:rFonts w:eastAsia="仿宋_GB2312"/>
          <w:sz w:val="28"/>
          <w:szCs w:val="28"/>
        </w:rPr>
        <w:t>共印</w:t>
      </w:r>
      <w:r>
        <w:rPr>
          <w:rFonts w:hint="eastAsia" w:eastAsia="仿宋_GB2312"/>
          <w:sz w:val="28"/>
          <w:szCs w:val="28"/>
          <w:lang w:val="en-US" w:eastAsia="zh-CN"/>
        </w:rPr>
        <w:t>3</w:t>
      </w:r>
      <w:r>
        <w:rPr>
          <w:rFonts w:eastAsia="仿宋_GB2312"/>
          <w:sz w:val="28"/>
          <w:szCs w:val="28"/>
        </w:rPr>
        <w:t>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1A8F73D8">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14:paraId="5AD8EDBB">
            <w:pPr>
              <w:spacing w:line="680" w:lineRule="exact"/>
              <w:ind w:right="160"/>
              <w:rPr>
                <w:sz w:val="32"/>
              </w:rPr>
            </w:pPr>
            <w:r>
              <w:rPr>
                <w:rFonts w:eastAsia="仿宋_GB2312"/>
                <w:sz w:val="28"/>
                <w:szCs w:val="28"/>
              </w:rPr>
              <w:t>抄</w:t>
            </w:r>
            <w:r>
              <w:rPr>
                <w:rFonts w:hint="eastAsia" w:eastAsia="仿宋_GB2312"/>
                <w:sz w:val="28"/>
                <w:szCs w:val="28"/>
                <w:lang w:val="en-US" w:eastAsia="zh-CN"/>
              </w:rPr>
              <w:t xml:space="preserve">  </w:t>
            </w:r>
            <w:r>
              <w:rPr>
                <w:rFonts w:eastAsia="仿宋_GB2312"/>
                <w:sz w:val="28"/>
                <w:szCs w:val="28"/>
              </w:rPr>
              <w:t>送：天津市滨海新区生态环境局</w:t>
            </w:r>
          </w:p>
        </w:tc>
      </w:tr>
    </w:tbl>
    <w:p w14:paraId="559CB6C4">
      <w:r>
        <w:rPr>
          <w:rFonts w:hint="eastAsia" w:eastAsia="仿宋_GB2312"/>
          <w:sz w:val="28"/>
          <w:szCs w:val="28"/>
        </w:rPr>
        <w:t xml:space="preserve">天津市滨海新区行政审批局             </w:t>
      </w:r>
      <w:r>
        <w:rPr>
          <w:rFonts w:hint="eastAsia" w:eastAsia="仿宋_GB2312"/>
          <w:sz w:val="28"/>
          <w:szCs w:val="28"/>
          <w:lang w:val="en-US" w:eastAsia="zh-CN"/>
        </w:rPr>
        <w:t xml:space="preserve">      2025</w:t>
      </w:r>
      <w:r>
        <w:rPr>
          <w:rFonts w:eastAsia="仿宋_GB2312"/>
          <w:sz w:val="28"/>
          <w:szCs w:val="28"/>
        </w:rPr>
        <w:t>年</w:t>
      </w:r>
      <w:r>
        <w:rPr>
          <w:rFonts w:hint="eastAsia" w:eastAsia="仿宋_GB2312"/>
          <w:sz w:val="28"/>
          <w:szCs w:val="28"/>
          <w:lang w:val="en-US" w:eastAsia="zh-CN"/>
        </w:rPr>
        <w:t>8</w:t>
      </w:r>
      <w:r>
        <w:rPr>
          <w:rFonts w:eastAsia="仿宋_GB2312"/>
          <w:sz w:val="28"/>
          <w:szCs w:val="28"/>
        </w:rPr>
        <w:t>月</w:t>
      </w:r>
      <w:r>
        <w:rPr>
          <w:rFonts w:hint="eastAsia" w:eastAsia="仿宋_GB2312"/>
          <w:sz w:val="28"/>
          <w:szCs w:val="28"/>
          <w:lang w:val="en-US" w:eastAsia="zh-CN"/>
        </w:rPr>
        <w:t>21</w:t>
      </w:r>
      <w:r>
        <w:rPr>
          <w:rFonts w:eastAsia="仿宋_GB2312"/>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E0B90">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F6AD5">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FF6AD5">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BD92F">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760D4866">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72CB5"/>
    <w:multiLevelType w:val="singleLevel"/>
    <w:tmpl w:val="90F72C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B5CE7"/>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022F0"/>
    <w:rsid w:val="00B375DB"/>
    <w:rsid w:val="00B93F2F"/>
    <w:rsid w:val="00B941D8"/>
    <w:rsid w:val="00BB4909"/>
    <w:rsid w:val="00BF6B0B"/>
    <w:rsid w:val="00C8126D"/>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11D2710"/>
    <w:rsid w:val="01A87AFF"/>
    <w:rsid w:val="02691984"/>
    <w:rsid w:val="029E0675"/>
    <w:rsid w:val="03550BFE"/>
    <w:rsid w:val="040E2881"/>
    <w:rsid w:val="041D6583"/>
    <w:rsid w:val="04ED41A7"/>
    <w:rsid w:val="050B6D23"/>
    <w:rsid w:val="05B64EE1"/>
    <w:rsid w:val="05BE0E49"/>
    <w:rsid w:val="05DA21DD"/>
    <w:rsid w:val="06C67D3B"/>
    <w:rsid w:val="077C3086"/>
    <w:rsid w:val="07CF6683"/>
    <w:rsid w:val="08FF1D4E"/>
    <w:rsid w:val="09C20CD4"/>
    <w:rsid w:val="0A5573E3"/>
    <w:rsid w:val="0A7C212E"/>
    <w:rsid w:val="0AC0235E"/>
    <w:rsid w:val="0B6D14B7"/>
    <w:rsid w:val="0CE942B7"/>
    <w:rsid w:val="0D4545B5"/>
    <w:rsid w:val="0D5F3A7D"/>
    <w:rsid w:val="0DA11C36"/>
    <w:rsid w:val="0DC57931"/>
    <w:rsid w:val="0EF34C60"/>
    <w:rsid w:val="0F4946D0"/>
    <w:rsid w:val="0FBD0C1A"/>
    <w:rsid w:val="10D821AF"/>
    <w:rsid w:val="11E572EB"/>
    <w:rsid w:val="14096B23"/>
    <w:rsid w:val="14357918"/>
    <w:rsid w:val="161C585F"/>
    <w:rsid w:val="162714E3"/>
    <w:rsid w:val="162E250C"/>
    <w:rsid w:val="171917D0"/>
    <w:rsid w:val="171A2A55"/>
    <w:rsid w:val="179C380B"/>
    <w:rsid w:val="18326D5D"/>
    <w:rsid w:val="18B352B0"/>
    <w:rsid w:val="195535DF"/>
    <w:rsid w:val="19BD63E6"/>
    <w:rsid w:val="19CB339C"/>
    <w:rsid w:val="1AB33345"/>
    <w:rsid w:val="1B53571D"/>
    <w:rsid w:val="1B6A0B90"/>
    <w:rsid w:val="1C7134B8"/>
    <w:rsid w:val="1E27050F"/>
    <w:rsid w:val="1E78064F"/>
    <w:rsid w:val="1E8F40C9"/>
    <w:rsid w:val="1E9437AE"/>
    <w:rsid w:val="1ED31EE6"/>
    <w:rsid w:val="1F2A662A"/>
    <w:rsid w:val="20836690"/>
    <w:rsid w:val="20E406FC"/>
    <w:rsid w:val="20EB1A8B"/>
    <w:rsid w:val="2156336B"/>
    <w:rsid w:val="21C3288F"/>
    <w:rsid w:val="22610E50"/>
    <w:rsid w:val="22A21F73"/>
    <w:rsid w:val="22AF5EBF"/>
    <w:rsid w:val="233667EF"/>
    <w:rsid w:val="243A1813"/>
    <w:rsid w:val="261E4311"/>
    <w:rsid w:val="265E70F3"/>
    <w:rsid w:val="26AA1D61"/>
    <w:rsid w:val="26FA244B"/>
    <w:rsid w:val="27E736B9"/>
    <w:rsid w:val="280265C2"/>
    <w:rsid w:val="284321AC"/>
    <w:rsid w:val="286345FC"/>
    <w:rsid w:val="28B735F1"/>
    <w:rsid w:val="28CC03F4"/>
    <w:rsid w:val="299E3412"/>
    <w:rsid w:val="2AE8703B"/>
    <w:rsid w:val="2B3B7D75"/>
    <w:rsid w:val="2C171AB1"/>
    <w:rsid w:val="2CD656D8"/>
    <w:rsid w:val="2D5A2BCE"/>
    <w:rsid w:val="2D9D72F7"/>
    <w:rsid w:val="2DA27975"/>
    <w:rsid w:val="2DAA197C"/>
    <w:rsid w:val="2E1B3283"/>
    <w:rsid w:val="2F44136D"/>
    <w:rsid w:val="2F927575"/>
    <w:rsid w:val="2FEF2C1A"/>
    <w:rsid w:val="30241BDC"/>
    <w:rsid w:val="30262E18"/>
    <w:rsid w:val="316A2E22"/>
    <w:rsid w:val="31AD4B3A"/>
    <w:rsid w:val="32622092"/>
    <w:rsid w:val="32CE4FCF"/>
    <w:rsid w:val="33630C98"/>
    <w:rsid w:val="33633703"/>
    <w:rsid w:val="33CA638A"/>
    <w:rsid w:val="33FC1F5A"/>
    <w:rsid w:val="347722F2"/>
    <w:rsid w:val="347F2CE0"/>
    <w:rsid w:val="34951FE2"/>
    <w:rsid w:val="35533D0B"/>
    <w:rsid w:val="357D7D64"/>
    <w:rsid w:val="35867B7C"/>
    <w:rsid w:val="35DF103A"/>
    <w:rsid w:val="367E6AA5"/>
    <w:rsid w:val="36B266B8"/>
    <w:rsid w:val="36C51F7A"/>
    <w:rsid w:val="36E20658"/>
    <w:rsid w:val="374B4BD9"/>
    <w:rsid w:val="375F19FD"/>
    <w:rsid w:val="37BF32B3"/>
    <w:rsid w:val="37CD1A92"/>
    <w:rsid w:val="37EB048C"/>
    <w:rsid w:val="38205C12"/>
    <w:rsid w:val="385C19AE"/>
    <w:rsid w:val="38B84141"/>
    <w:rsid w:val="38E52E0C"/>
    <w:rsid w:val="38FE04C0"/>
    <w:rsid w:val="3982447C"/>
    <w:rsid w:val="399D5FE8"/>
    <w:rsid w:val="3B0D5BF6"/>
    <w:rsid w:val="3B660234"/>
    <w:rsid w:val="3D2E17ED"/>
    <w:rsid w:val="3E015AA4"/>
    <w:rsid w:val="3E730BBA"/>
    <w:rsid w:val="3ED5EC67"/>
    <w:rsid w:val="3ED66B5C"/>
    <w:rsid w:val="3EFF249B"/>
    <w:rsid w:val="3F9A2934"/>
    <w:rsid w:val="3FC55010"/>
    <w:rsid w:val="3FD14EC6"/>
    <w:rsid w:val="40A9471F"/>
    <w:rsid w:val="41116DDD"/>
    <w:rsid w:val="412A3AB2"/>
    <w:rsid w:val="42382433"/>
    <w:rsid w:val="424468A0"/>
    <w:rsid w:val="440D6796"/>
    <w:rsid w:val="445A69E2"/>
    <w:rsid w:val="44811733"/>
    <w:rsid w:val="44A333BF"/>
    <w:rsid w:val="44FB2731"/>
    <w:rsid w:val="45915881"/>
    <w:rsid w:val="45D27CD9"/>
    <w:rsid w:val="46534CE5"/>
    <w:rsid w:val="46BF2397"/>
    <w:rsid w:val="46C10A14"/>
    <w:rsid w:val="47693F8F"/>
    <w:rsid w:val="47E250E6"/>
    <w:rsid w:val="48314946"/>
    <w:rsid w:val="4848025D"/>
    <w:rsid w:val="4A0550BC"/>
    <w:rsid w:val="4AE43C50"/>
    <w:rsid w:val="4B106CD2"/>
    <w:rsid w:val="4B314936"/>
    <w:rsid w:val="4BE8259F"/>
    <w:rsid w:val="4C03387D"/>
    <w:rsid w:val="4C0F5C17"/>
    <w:rsid w:val="4C746529"/>
    <w:rsid w:val="4D005CA5"/>
    <w:rsid w:val="4D153D6B"/>
    <w:rsid w:val="4D2158B2"/>
    <w:rsid w:val="4D493D81"/>
    <w:rsid w:val="4D752558"/>
    <w:rsid w:val="4D855597"/>
    <w:rsid w:val="4DFFF697"/>
    <w:rsid w:val="4E3F66C2"/>
    <w:rsid w:val="4EC837AE"/>
    <w:rsid w:val="50303EE1"/>
    <w:rsid w:val="50526B81"/>
    <w:rsid w:val="52683711"/>
    <w:rsid w:val="52A631B4"/>
    <w:rsid w:val="53ED7747"/>
    <w:rsid w:val="54332825"/>
    <w:rsid w:val="55C20EA5"/>
    <w:rsid w:val="562B5E8C"/>
    <w:rsid w:val="573945F7"/>
    <w:rsid w:val="579B2BBB"/>
    <w:rsid w:val="585135BE"/>
    <w:rsid w:val="58532BEB"/>
    <w:rsid w:val="58580F63"/>
    <w:rsid w:val="58704048"/>
    <w:rsid w:val="59465D4C"/>
    <w:rsid w:val="59EC4DD6"/>
    <w:rsid w:val="59F83A4A"/>
    <w:rsid w:val="5ABC54F2"/>
    <w:rsid w:val="5AC3177F"/>
    <w:rsid w:val="5B4D6D7F"/>
    <w:rsid w:val="5CA226B5"/>
    <w:rsid w:val="5CA70254"/>
    <w:rsid w:val="5D0F3DCC"/>
    <w:rsid w:val="5E09355C"/>
    <w:rsid w:val="5E0E22C9"/>
    <w:rsid w:val="5E257683"/>
    <w:rsid w:val="5E604728"/>
    <w:rsid w:val="5F0E3CB8"/>
    <w:rsid w:val="5F6875D7"/>
    <w:rsid w:val="5FCF518C"/>
    <w:rsid w:val="60885CA7"/>
    <w:rsid w:val="60C42FC6"/>
    <w:rsid w:val="61C254B7"/>
    <w:rsid w:val="61F10051"/>
    <w:rsid w:val="61FA1823"/>
    <w:rsid w:val="62301E3C"/>
    <w:rsid w:val="628A6975"/>
    <w:rsid w:val="628D3A49"/>
    <w:rsid w:val="628E7BBF"/>
    <w:rsid w:val="62922D24"/>
    <w:rsid w:val="62E713AB"/>
    <w:rsid w:val="63C841A4"/>
    <w:rsid w:val="640F6E0B"/>
    <w:rsid w:val="646802C9"/>
    <w:rsid w:val="649121DE"/>
    <w:rsid w:val="649505C9"/>
    <w:rsid w:val="651D7306"/>
    <w:rsid w:val="65EF76D2"/>
    <w:rsid w:val="662611AC"/>
    <w:rsid w:val="665723A3"/>
    <w:rsid w:val="67526E00"/>
    <w:rsid w:val="675F70AE"/>
    <w:rsid w:val="678C5BDD"/>
    <w:rsid w:val="69131D04"/>
    <w:rsid w:val="69391A4D"/>
    <w:rsid w:val="6A1D01E4"/>
    <w:rsid w:val="6B2313EE"/>
    <w:rsid w:val="6B720AE3"/>
    <w:rsid w:val="6C3B62C3"/>
    <w:rsid w:val="6CF675EA"/>
    <w:rsid w:val="6E0A324A"/>
    <w:rsid w:val="6E4D6C01"/>
    <w:rsid w:val="6E677844"/>
    <w:rsid w:val="6F525944"/>
    <w:rsid w:val="6F765C07"/>
    <w:rsid w:val="6FB645DF"/>
    <w:rsid w:val="6FCA008A"/>
    <w:rsid w:val="7013344B"/>
    <w:rsid w:val="715926C4"/>
    <w:rsid w:val="718F062F"/>
    <w:rsid w:val="71DE7C18"/>
    <w:rsid w:val="71E03B95"/>
    <w:rsid w:val="727218EC"/>
    <w:rsid w:val="72DD6326"/>
    <w:rsid w:val="744A736E"/>
    <w:rsid w:val="75442A9E"/>
    <w:rsid w:val="7605103D"/>
    <w:rsid w:val="76AF4C49"/>
    <w:rsid w:val="773C481C"/>
    <w:rsid w:val="78C37D6C"/>
    <w:rsid w:val="791B1FC3"/>
    <w:rsid w:val="79D264B9"/>
    <w:rsid w:val="79D7682F"/>
    <w:rsid w:val="7C262AEC"/>
    <w:rsid w:val="7CB00608"/>
    <w:rsid w:val="7CC077EE"/>
    <w:rsid w:val="7CDB6472"/>
    <w:rsid w:val="7D0155A5"/>
    <w:rsid w:val="7D247CD4"/>
    <w:rsid w:val="7DFA21C4"/>
    <w:rsid w:val="7E2D1F10"/>
    <w:rsid w:val="7E6678D4"/>
    <w:rsid w:val="7E906943"/>
    <w:rsid w:val="7F7CF0BB"/>
    <w:rsid w:val="7F922865"/>
    <w:rsid w:val="BBE3FCA7"/>
    <w:rsid w:val="CB606E51"/>
    <w:rsid w:val="DB839824"/>
    <w:rsid w:val="E7FB8941"/>
    <w:rsid w:val="EBFF7B62"/>
    <w:rsid w:val="EDFF55FE"/>
    <w:rsid w:val="FF7719C7"/>
    <w:rsid w:val="FFEF774F"/>
    <w:rsid w:val="FFFD374C"/>
    <w:rsid w:val="FFFF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Emphasis"/>
    <w:basedOn w:val="6"/>
    <w:qFormat/>
    <w:uiPriority w:val="0"/>
    <w:rPr>
      <w:i/>
    </w:rPr>
  </w:style>
  <w:style w:type="character" w:customStyle="1" w:styleId="9">
    <w:name w:val="页脚 Char"/>
    <w:basedOn w:val="6"/>
    <w:link w:val="3"/>
    <w:qFormat/>
    <w:uiPriority w:val="0"/>
    <w:rPr>
      <w:kern w:val="2"/>
      <w:sz w:val="18"/>
      <w:szCs w:val="18"/>
    </w:rPr>
  </w:style>
  <w:style w:type="character" w:customStyle="1" w:styleId="10">
    <w:name w:val="页眉 Char"/>
    <w:basedOn w:val="6"/>
    <w:link w:val="4"/>
    <w:qFormat/>
    <w:uiPriority w:val="0"/>
    <w:rPr>
      <w:kern w:val="2"/>
      <w:sz w:val="18"/>
      <w:szCs w:val="18"/>
    </w:rPr>
  </w:style>
  <w:style w:type="paragraph" w:customStyle="1" w:styleId="11">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1089</Words>
  <Characters>1215</Characters>
  <Lines>1</Lines>
  <Paragraphs>1</Paragraphs>
  <TotalTime>5</TotalTime>
  <ScaleCrop>false</ScaleCrop>
  <LinksUpToDate>false</LinksUpToDate>
  <CharactersWithSpaces>1266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2014-05-24T01:22:00Z</dcterms:created>
  <dc:creator>张明蕾</dc:creator>
  <cp:lastModifiedBy>dell</cp:lastModifiedBy>
  <cp:lastPrinted>2025-07-25T01:13:00Z</cp:lastPrinted>
  <dcterms:modified xsi:type="dcterms:W3CDTF">2025-08-21T08:43:30Z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537C78E9A9AB4054AB2335E3DDAAF6BD_13</vt:lpwstr>
  </property>
  <property fmtid="{D5CDD505-2E9C-101B-9397-08002B2CF9AE}" pid="4" name="KSOTemplateDocerSaveRecord">
    <vt:lpwstr>eyJoZGlkIjoiODViY2JkMjU3NGYzZTEwMzZmMGFkZWViYmNkYWU3NDIiLCJ1c2VySWQiOiI2MjA1MTgzNDgifQ==</vt:lpwstr>
  </property>
</Properties>
</file>