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A9EE4">
      <w:pPr>
        <w:rPr>
          <w:rFonts w:ascii="仿宋_GB2312" w:eastAsia="仿宋_GB2312"/>
          <w:sz w:val="32"/>
          <w:szCs w:val="32"/>
        </w:rPr>
      </w:pPr>
    </w:p>
    <w:p w14:paraId="7D2FD8D9">
      <w:pPr>
        <w:pStyle w:val="2"/>
      </w:pPr>
    </w:p>
    <w:p w14:paraId="0C9F3AC8">
      <w:pPr>
        <w:rPr>
          <w:rFonts w:ascii="仿宋_GB2312" w:eastAsia="仿宋_GB2312"/>
          <w:sz w:val="32"/>
          <w:szCs w:val="32"/>
        </w:rPr>
      </w:pPr>
    </w:p>
    <w:p w14:paraId="71E9A031">
      <w:pPr>
        <w:spacing w:line="360" w:lineRule="auto"/>
        <w:jc w:val="center"/>
        <w:rPr>
          <w:rFonts w:ascii="仿宋_GB2312" w:eastAsia="仿宋_GB2312"/>
          <w:sz w:val="32"/>
          <w:szCs w:val="32"/>
        </w:rPr>
      </w:pPr>
    </w:p>
    <w:p w14:paraId="02B78BC9">
      <w:pPr>
        <w:jc w:val="center"/>
        <w:rPr>
          <w:rFonts w:eastAsia="仿宋_GB2312"/>
          <w:sz w:val="32"/>
          <w:szCs w:val="32"/>
        </w:rPr>
      </w:pPr>
    </w:p>
    <w:p w14:paraId="5A918D33">
      <w:pPr>
        <w:jc w:val="center"/>
        <w:rPr>
          <w:rFonts w:ascii="仿宋_GB2312" w:eastAsia="仿宋_GB2312"/>
          <w:sz w:val="32"/>
          <w:szCs w:val="32"/>
          <w:highlight w:val="none"/>
        </w:rPr>
      </w:pPr>
      <w:bookmarkStart w:id="3" w:name="_GoBack"/>
      <w:r>
        <w:rPr>
          <w:rFonts w:eastAsia="仿宋_GB2312"/>
          <w:sz w:val="32"/>
          <w:szCs w:val="32"/>
          <w:highlight w:val="none"/>
        </w:rPr>
        <w:t>津滨审批二室准〔20</w:t>
      </w:r>
      <w:r>
        <w:rPr>
          <w:rFonts w:hint="eastAsia" w:eastAsia="仿宋_GB2312"/>
          <w:sz w:val="32"/>
          <w:szCs w:val="32"/>
          <w:highlight w:val="none"/>
        </w:rPr>
        <w:t>25</w:t>
      </w:r>
      <w:r>
        <w:rPr>
          <w:rFonts w:eastAsia="仿宋_GB2312"/>
          <w:sz w:val="32"/>
          <w:szCs w:val="32"/>
          <w:highlight w:val="none"/>
        </w:rPr>
        <w:t>〕</w:t>
      </w:r>
      <w:r>
        <w:rPr>
          <w:rFonts w:hint="eastAsia" w:eastAsia="仿宋_GB2312"/>
          <w:sz w:val="32"/>
          <w:szCs w:val="32"/>
          <w:highlight w:val="none"/>
          <w:lang w:val="en-US" w:eastAsia="zh-CN"/>
        </w:rPr>
        <w:t>198</w:t>
      </w:r>
      <w:r>
        <w:rPr>
          <w:rFonts w:eastAsia="仿宋_GB2312"/>
          <w:sz w:val="32"/>
          <w:szCs w:val="32"/>
          <w:highlight w:val="none"/>
        </w:rPr>
        <w:t>号</w:t>
      </w:r>
    </w:p>
    <w:bookmarkEnd w:id="3"/>
    <w:p w14:paraId="1E8FF9D2">
      <w:pPr>
        <w:rPr>
          <w:rFonts w:ascii="仿宋_GB2312" w:eastAsia="仿宋_GB2312"/>
          <w:sz w:val="32"/>
          <w:szCs w:val="32"/>
        </w:rPr>
      </w:pPr>
    </w:p>
    <w:p w14:paraId="38109A88">
      <w:pPr>
        <w:pStyle w:val="14"/>
        <w:spacing w:line="580" w:lineRule="exact"/>
        <w:jc w:val="center"/>
        <w:rPr>
          <w:rFonts w:eastAsia="仿宋_GB2312"/>
          <w:kern w:val="2"/>
          <w:sz w:val="32"/>
          <w:szCs w:val="32"/>
        </w:rPr>
      </w:pPr>
    </w:p>
    <w:p w14:paraId="74FEF9D5">
      <w:pPr>
        <w:pStyle w:val="14"/>
        <w:spacing w:line="660" w:lineRule="exact"/>
        <w:jc w:val="center"/>
        <w:rPr>
          <w:rFonts w:ascii="方正小标宋简体" w:hAnsi="宋体" w:eastAsia="方正小标宋简体"/>
          <w:color w:val="000000"/>
          <w:sz w:val="44"/>
          <w:lang w:val="en"/>
        </w:rPr>
      </w:pPr>
      <w:r>
        <w:rPr>
          <w:rFonts w:hint="eastAsia" w:ascii="方正小标宋简体" w:hAnsi="宋体" w:eastAsia="方正小标宋简体"/>
          <w:color w:val="000000"/>
          <w:sz w:val="44"/>
        </w:rPr>
        <w:t>关</w:t>
      </w:r>
      <w:r>
        <w:rPr>
          <w:rFonts w:hint="eastAsia" w:ascii="方正小标宋简体" w:hAnsi="宋体" w:eastAsia="方正小标宋简体"/>
          <w:color w:val="000000"/>
          <w:sz w:val="44"/>
          <w:lang w:val="en"/>
        </w:rPr>
        <w:t>于中国石化销售股份有限公司天津石油</w:t>
      </w:r>
    </w:p>
    <w:p w14:paraId="3877D073">
      <w:pPr>
        <w:pStyle w:val="14"/>
        <w:spacing w:line="660" w:lineRule="exact"/>
        <w:jc w:val="center"/>
        <w:rPr>
          <w:rFonts w:ascii="方正小标宋简体" w:hAnsi="宋体" w:eastAsia="方正小标宋简体"/>
          <w:color w:val="000000"/>
          <w:sz w:val="44"/>
          <w:lang w:val="en"/>
        </w:rPr>
      </w:pPr>
      <w:r>
        <w:rPr>
          <w:rFonts w:hint="eastAsia" w:ascii="方正小标宋简体" w:hAnsi="宋体" w:eastAsia="方正小标宋简体"/>
          <w:color w:val="000000"/>
          <w:sz w:val="44"/>
          <w:lang w:val="en"/>
        </w:rPr>
        <w:t>分公司滨海三环加油站改造项目</w:t>
      </w:r>
    </w:p>
    <w:p w14:paraId="000DD138">
      <w:pPr>
        <w:pStyle w:val="14"/>
        <w:spacing w:line="66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lang w:val="en"/>
        </w:rPr>
        <w:t>环境影响报告表的</w:t>
      </w:r>
      <w:r>
        <w:rPr>
          <w:rFonts w:hint="eastAsia" w:ascii="方正小标宋简体" w:hAnsi="宋体" w:eastAsia="方正小标宋简体"/>
          <w:color w:val="000000"/>
          <w:sz w:val="44"/>
        </w:rPr>
        <w:t>批复</w:t>
      </w:r>
    </w:p>
    <w:p w14:paraId="0ADDE0AE">
      <w:pPr>
        <w:spacing w:line="0" w:lineRule="atLeast"/>
        <w:jc w:val="center"/>
        <w:rPr>
          <w:rFonts w:ascii="宋体" w:hAnsi="宋体"/>
          <w:b/>
          <w:color w:val="000000"/>
          <w:szCs w:val="21"/>
        </w:rPr>
      </w:pPr>
    </w:p>
    <w:p w14:paraId="5AF58211">
      <w:pPr>
        <w:pStyle w:val="14"/>
        <w:spacing w:line="600" w:lineRule="exact"/>
        <w:jc w:val="both"/>
        <w:rPr>
          <w:rFonts w:eastAsia="仿宋_GB2312"/>
          <w:sz w:val="32"/>
          <w:szCs w:val="32"/>
        </w:rPr>
      </w:pPr>
      <w:r>
        <w:rPr>
          <w:rFonts w:hint="eastAsia" w:eastAsia="仿宋_GB2312"/>
          <w:sz w:val="32"/>
          <w:szCs w:val="32"/>
        </w:rPr>
        <w:t>中国石化销售股份有限公司天津石油分公司：</w:t>
      </w:r>
    </w:p>
    <w:p w14:paraId="15FDEDE6">
      <w:pPr>
        <w:spacing w:line="600" w:lineRule="exact"/>
        <w:ind w:firstLine="640" w:firstLineChars="200"/>
        <w:textAlignment w:val="baseline"/>
        <w:rPr>
          <w:rFonts w:eastAsia="仿宋_GB2312"/>
          <w:sz w:val="32"/>
          <w:szCs w:val="32"/>
        </w:rPr>
      </w:pPr>
      <w:r>
        <w:rPr>
          <w:rFonts w:hint="eastAsia" w:eastAsia="仿宋_GB2312"/>
          <w:sz w:val="32"/>
          <w:szCs w:val="32"/>
        </w:rPr>
        <w:t>你公司</w:t>
      </w:r>
      <w:r>
        <w:rPr>
          <w:rFonts w:eastAsia="仿宋_GB2312"/>
          <w:sz w:val="32"/>
          <w:szCs w:val="32"/>
        </w:rPr>
        <w:t>呈</w:t>
      </w:r>
      <w:r>
        <w:rPr>
          <w:rFonts w:hint="eastAsia" w:eastAsia="仿宋_GB2312"/>
          <w:sz w:val="32"/>
          <w:szCs w:val="32"/>
        </w:rPr>
        <w:t>报的《建设项目环境影响审批申请书》、世纪鑫海（天津）环境科技有限公司编制的《</w:t>
      </w:r>
      <w:r>
        <w:rPr>
          <w:rFonts w:hint="eastAsia" w:eastAsia="仿宋_GB2312"/>
          <w:sz w:val="32"/>
          <w:szCs w:val="32"/>
          <w:lang w:val="en"/>
        </w:rPr>
        <w:t>中国石化销售股份有限公司天津石油分公司滨海三环加油站改造项目环境</w:t>
      </w:r>
      <w:r>
        <w:rPr>
          <w:rFonts w:hint="eastAsia" w:eastAsia="仿宋_GB2312"/>
          <w:sz w:val="32"/>
          <w:szCs w:val="32"/>
        </w:rPr>
        <w:t>影响报告表</w:t>
      </w:r>
      <w:r>
        <w:rPr>
          <w:rFonts w:eastAsia="仿宋_GB2312"/>
          <w:sz w:val="32"/>
          <w:szCs w:val="32"/>
        </w:rPr>
        <w:t>》</w:t>
      </w:r>
      <w:r>
        <w:rPr>
          <w:rFonts w:hint="eastAsia" w:eastAsia="仿宋_GB2312"/>
          <w:sz w:val="32"/>
          <w:szCs w:val="32"/>
        </w:rPr>
        <w:t>及其附件</w:t>
      </w:r>
      <w:r>
        <w:rPr>
          <w:rFonts w:eastAsia="仿宋_GB2312"/>
          <w:sz w:val="32"/>
          <w:szCs w:val="32"/>
        </w:rPr>
        <w:t>收悉。经研究，现批复如下：</w:t>
      </w:r>
    </w:p>
    <w:p w14:paraId="5E961749">
      <w:pPr>
        <w:numPr>
          <w:ilvl w:val="0"/>
          <w:numId w:val="1"/>
        </w:numPr>
        <w:spacing w:line="600" w:lineRule="exact"/>
        <w:ind w:firstLine="640"/>
        <w:textAlignment w:val="baseline"/>
        <w:rPr>
          <w:rFonts w:eastAsia="仿宋_GB2312"/>
          <w:sz w:val="32"/>
          <w:szCs w:val="32"/>
        </w:rPr>
      </w:pPr>
      <w:r>
        <w:rPr>
          <w:rFonts w:hint="eastAsia" w:eastAsia="仿宋_GB2312"/>
          <w:sz w:val="32"/>
          <w:szCs w:val="32"/>
        </w:rPr>
        <w:t>滨海三环加油站位于滨海新区塘沽河南路西侧。本次改造拟对现有油气回收治理设施进行改造，在</w:t>
      </w:r>
      <w:r>
        <w:rPr>
          <w:rFonts w:eastAsia="仿宋_GB2312"/>
          <w:sz w:val="32"/>
          <w:szCs w:val="32"/>
        </w:rPr>
        <w:t>2</w:t>
      </w:r>
      <w:r>
        <w:rPr>
          <w:rFonts w:hint="eastAsia" w:eastAsia="仿宋_GB2312"/>
          <w:sz w:val="32"/>
          <w:szCs w:val="32"/>
        </w:rPr>
        <w:t>座闲置加油岛上各新增</w:t>
      </w:r>
      <w:r>
        <w:rPr>
          <w:rFonts w:eastAsia="仿宋_GB2312"/>
          <w:sz w:val="32"/>
          <w:szCs w:val="32"/>
        </w:rPr>
        <w:t>1</w:t>
      </w:r>
      <w:r>
        <w:rPr>
          <w:rFonts w:hint="eastAsia" w:eastAsia="仿宋_GB2312"/>
          <w:sz w:val="32"/>
          <w:szCs w:val="32"/>
        </w:rPr>
        <w:t>台</w:t>
      </w:r>
      <w:r>
        <w:rPr>
          <w:rFonts w:eastAsia="仿宋_GB2312"/>
          <w:sz w:val="32"/>
          <w:szCs w:val="32"/>
        </w:rPr>
        <w:t>4</w:t>
      </w:r>
      <w:r>
        <w:rPr>
          <w:rFonts w:hint="eastAsia" w:eastAsia="仿宋_GB2312"/>
          <w:sz w:val="32"/>
          <w:szCs w:val="32"/>
        </w:rPr>
        <w:t>枪汽油加油机，改造油气处理装置等。</w:t>
      </w:r>
      <w:bookmarkStart w:id="0" w:name="OLE_LINK152"/>
      <w:bookmarkStart w:id="1" w:name="OLE_LINK151"/>
      <w:r>
        <w:rPr>
          <w:rFonts w:hint="eastAsia" w:eastAsia="仿宋_GB2312"/>
          <w:sz w:val="32"/>
          <w:szCs w:val="32"/>
        </w:rPr>
        <w:t>改造完成后，加油站有</w:t>
      </w:r>
      <w:bookmarkStart w:id="2" w:name="OLE_LINK146"/>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座</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立方米</w:t>
      </w:r>
      <w:r>
        <w:rPr>
          <w:rFonts w:hint="eastAsia" w:ascii="Times New Roman" w:hAnsi="Times New Roman" w:eastAsia="仿宋_GB2312" w:cs="Times New Roman"/>
          <w:sz w:val="32"/>
          <w:szCs w:val="32"/>
          <w:lang w:val="en-US" w:eastAsia="zh-CN"/>
        </w:rPr>
        <w:t>汽油储罐、</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座</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立方米</w:t>
      </w:r>
      <w:r>
        <w:rPr>
          <w:rFonts w:hint="eastAsia" w:ascii="Times New Roman" w:hAnsi="Times New Roman" w:eastAsia="仿宋_GB2312" w:cs="Times New Roman"/>
          <w:sz w:val="32"/>
          <w:szCs w:val="32"/>
          <w:lang w:val="en-US" w:eastAsia="zh-CN"/>
        </w:rPr>
        <w:t>柴油储罐，</w:t>
      </w:r>
      <w:r>
        <w:rPr>
          <w:rFonts w:hint="eastAsia" w:eastAsia="仿宋_GB2312"/>
          <w:sz w:val="32"/>
          <w:szCs w:val="32"/>
        </w:rPr>
        <w:t>3台4枪汽油加油机</w:t>
      </w:r>
      <w:bookmarkEnd w:id="2"/>
      <w:r>
        <w:rPr>
          <w:rFonts w:hint="eastAsia" w:eastAsia="仿宋_GB2312"/>
          <w:sz w:val="32"/>
          <w:szCs w:val="32"/>
        </w:rPr>
        <w:t>、2台8枪汽油加油机、1台4枪柴油加油机</w:t>
      </w:r>
      <w:bookmarkEnd w:id="0"/>
      <w:bookmarkEnd w:id="1"/>
      <w:r>
        <w:rPr>
          <w:rFonts w:hint="eastAsia" w:eastAsia="仿宋_GB2312"/>
          <w:sz w:val="32"/>
          <w:szCs w:val="32"/>
          <w:lang w:eastAsia="zh-CN"/>
        </w:rPr>
        <w:t>；</w:t>
      </w:r>
      <w:r>
        <w:rPr>
          <w:rFonts w:hint="eastAsia" w:eastAsia="仿宋_GB2312"/>
          <w:sz w:val="32"/>
          <w:szCs w:val="32"/>
        </w:rPr>
        <w:t>汽油年销售量</w:t>
      </w:r>
      <w:r>
        <w:rPr>
          <w:rFonts w:hint="eastAsia" w:eastAsia="仿宋_GB2312"/>
          <w:sz w:val="32"/>
          <w:szCs w:val="32"/>
          <w:lang w:eastAsia="zh-CN"/>
        </w:rPr>
        <w:t>为</w:t>
      </w:r>
      <w:r>
        <w:rPr>
          <w:rFonts w:hint="eastAsia" w:eastAsia="仿宋_GB2312"/>
          <w:sz w:val="32"/>
          <w:szCs w:val="32"/>
        </w:rPr>
        <w:t>8000</w:t>
      </w:r>
      <w:r>
        <w:rPr>
          <w:rFonts w:hint="eastAsia" w:eastAsia="仿宋_GB2312"/>
          <w:sz w:val="32"/>
          <w:szCs w:val="32"/>
          <w:lang w:eastAsia="zh-CN"/>
        </w:rPr>
        <w:t>吨</w:t>
      </w:r>
      <w:r>
        <w:rPr>
          <w:rFonts w:hint="eastAsia" w:eastAsia="仿宋_GB2312"/>
          <w:sz w:val="32"/>
          <w:szCs w:val="32"/>
        </w:rPr>
        <w:t>，柴油</w:t>
      </w:r>
      <w:r>
        <w:rPr>
          <w:rFonts w:hint="eastAsia" w:eastAsia="仿宋_GB2312"/>
          <w:sz w:val="32"/>
          <w:szCs w:val="32"/>
          <w:lang w:eastAsia="zh-CN"/>
        </w:rPr>
        <w:t>年</w:t>
      </w:r>
      <w:r>
        <w:rPr>
          <w:rFonts w:hint="eastAsia" w:eastAsia="仿宋_GB2312"/>
          <w:sz w:val="32"/>
          <w:szCs w:val="32"/>
        </w:rPr>
        <w:t>销售为2000</w:t>
      </w:r>
      <w:r>
        <w:rPr>
          <w:rFonts w:hint="eastAsia" w:eastAsia="仿宋_GB2312"/>
          <w:sz w:val="32"/>
          <w:szCs w:val="32"/>
          <w:lang w:eastAsia="zh-CN"/>
        </w:rPr>
        <w:t>吨</w:t>
      </w:r>
      <w:r>
        <w:rPr>
          <w:rFonts w:hint="eastAsia" w:eastAsia="仿宋_GB2312"/>
          <w:sz w:val="32"/>
          <w:szCs w:val="32"/>
        </w:rPr>
        <w:t>。项目总投资26.3万元，环保投资4.3万元，占总投资的16.35%。</w:t>
      </w:r>
    </w:p>
    <w:p w14:paraId="51E7F981">
      <w:pPr>
        <w:spacing w:line="600" w:lineRule="exact"/>
        <w:ind w:firstLine="640" w:firstLineChars="200"/>
        <w:textAlignment w:val="baseline"/>
        <w:rPr>
          <w:rFonts w:eastAsia="仿宋_GB2312"/>
          <w:sz w:val="32"/>
          <w:szCs w:val="32"/>
        </w:rPr>
      </w:pPr>
      <w:r>
        <w:rPr>
          <w:rFonts w:hint="eastAsia" w:eastAsia="仿宋_GB2312"/>
          <w:sz w:val="32"/>
          <w:szCs w:val="32"/>
        </w:rPr>
        <w:t>2025年6月20日至6月26日，</w:t>
      </w:r>
      <w:r>
        <w:rPr>
          <w:rFonts w:eastAsia="仿宋_GB2312"/>
          <w:sz w:val="32"/>
          <w:szCs w:val="32"/>
        </w:rPr>
        <w:t>我局将该项目</w:t>
      </w:r>
      <w:r>
        <w:rPr>
          <w:rFonts w:hint="eastAsia" w:eastAsia="仿宋_GB2312"/>
          <w:sz w:val="32"/>
          <w:szCs w:val="32"/>
        </w:rPr>
        <w:t>环评报告</w:t>
      </w:r>
      <w:r>
        <w:rPr>
          <w:rFonts w:eastAsia="仿宋_GB2312"/>
          <w:sz w:val="32"/>
          <w:szCs w:val="32"/>
        </w:rPr>
        <w:t>受理情况进行</w:t>
      </w:r>
      <w:r>
        <w:rPr>
          <w:rFonts w:hint="eastAsia" w:eastAsia="仿宋_GB2312"/>
          <w:sz w:val="32"/>
          <w:szCs w:val="32"/>
        </w:rPr>
        <w:t>了</w:t>
      </w:r>
      <w:r>
        <w:rPr>
          <w:rFonts w:eastAsia="仿宋_GB2312"/>
          <w:sz w:val="32"/>
          <w:szCs w:val="32"/>
        </w:rPr>
        <w:t>公示</w:t>
      </w:r>
      <w:r>
        <w:rPr>
          <w:rFonts w:eastAsia="仿宋_GB2312"/>
          <w:sz w:val="32"/>
          <w:szCs w:val="32"/>
          <w:highlight w:val="none"/>
        </w:rPr>
        <w:t>；</w:t>
      </w:r>
      <w:r>
        <w:rPr>
          <w:rFonts w:hint="eastAsia" w:eastAsia="仿宋_GB2312"/>
          <w:sz w:val="32"/>
          <w:szCs w:val="32"/>
          <w:highlight w:val="none"/>
          <w:lang w:val="en-US" w:eastAsia="zh-CN"/>
        </w:rPr>
        <w:t>7</w:t>
      </w:r>
      <w:r>
        <w:rPr>
          <w:rFonts w:eastAsia="仿宋_GB2312"/>
          <w:sz w:val="32"/>
          <w:szCs w:val="32"/>
          <w:highlight w:val="none"/>
        </w:rPr>
        <w:t>月</w:t>
      </w:r>
      <w:r>
        <w:rPr>
          <w:rFonts w:hint="eastAsia" w:eastAsia="仿宋_GB2312"/>
          <w:sz w:val="32"/>
          <w:szCs w:val="32"/>
          <w:highlight w:val="none"/>
          <w:lang w:val="en-US" w:eastAsia="zh-CN"/>
        </w:rPr>
        <w:t>15</w:t>
      </w:r>
      <w:r>
        <w:rPr>
          <w:rFonts w:eastAsia="仿宋_GB2312"/>
          <w:sz w:val="32"/>
          <w:szCs w:val="32"/>
          <w:highlight w:val="none"/>
        </w:rPr>
        <w:t>日至</w:t>
      </w:r>
      <w:r>
        <w:rPr>
          <w:rFonts w:hint="eastAsia" w:eastAsia="仿宋_GB2312"/>
          <w:sz w:val="32"/>
          <w:szCs w:val="32"/>
          <w:highlight w:val="none"/>
          <w:lang w:val="en-US" w:eastAsia="zh-CN"/>
        </w:rPr>
        <w:t>7</w:t>
      </w:r>
      <w:r>
        <w:rPr>
          <w:rFonts w:eastAsia="仿宋_GB2312"/>
          <w:sz w:val="32"/>
          <w:szCs w:val="32"/>
          <w:highlight w:val="none"/>
        </w:rPr>
        <w:t>月</w:t>
      </w:r>
      <w:r>
        <w:rPr>
          <w:rFonts w:hint="eastAsia" w:eastAsia="仿宋_GB2312"/>
          <w:sz w:val="32"/>
          <w:szCs w:val="32"/>
          <w:highlight w:val="none"/>
          <w:lang w:val="en-US" w:eastAsia="zh-CN"/>
        </w:rPr>
        <w:t>21</w:t>
      </w:r>
      <w:r>
        <w:rPr>
          <w:rFonts w:eastAsia="仿宋_GB2312"/>
          <w:sz w:val="32"/>
          <w:szCs w:val="32"/>
          <w:highlight w:val="none"/>
        </w:rPr>
        <w:t>日，</w:t>
      </w:r>
      <w:r>
        <w:rPr>
          <w:rFonts w:eastAsia="仿宋_GB2312"/>
          <w:sz w:val="32"/>
          <w:szCs w:val="32"/>
        </w:rPr>
        <w:t>将该项目</w:t>
      </w:r>
      <w:r>
        <w:rPr>
          <w:rFonts w:hint="eastAsia" w:eastAsia="仿宋_GB2312"/>
          <w:sz w:val="32"/>
          <w:szCs w:val="32"/>
        </w:rPr>
        <w:t>环评报告</w:t>
      </w:r>
      <w:r>
        <w:rPr>
          <w:rFonts w:eastAsia="仿宋_GB2312"/>
          <w:sz w:val="32"/>
          <w:szCs w:val="32"/>
        </w:rPr>
        <w:t>拟批复情况进行</w:t>
      </w:r>
      <w:r>
        <w:rPr>
          <w:rFonts w:hint="eastAsia" w:eastAsia="仿宋_GB2312"/>
          <w:sz w:val="32"/>
          <w:szCs w:val="32"/>
        </w:rPr>
        <w:t>了</w:t>
      </w:r>
      <w:r>
        <w:rPr>
          <w:rFonts w:eastAsia="仿宋_GB2312"/>
          <w:sz w:val="32"/>
          <w:szCs w:val="32"/>
        </w:rPr>
        <w:t>公示；根据公众反馈意见情况及环评报告结论，在严格落实环评报告所提出的各项污染防治措施、确保各类污染物稳定达标的前提下，项目</w:t>
      </w:r>
      <w:r>
        <w:rPr>
          <w:rFonts w:hint="eastAsia" w:eastAsia="仿宋_GB2312"/>
          <w:sz w:val="32"/>
          <w:szCs w:val="32"/>
        </w:rPr>
        <w:t>具备环境可行性</w:t>
      </w:r>
      <w:r>
        <w:rPr>
          <w:rFonts w:eastAsia="仿宋_GB2312"/>
          <w:sz w:val="32"/>
          <w:szCs w:val="32"/>
        </w:rPr>
        <w:t>。</w:t>
      </w:r>
    </w:p>
    <w:p w14:paraId="2B84343A">
      <w:pPr>
        <w:spacing w:line="600" w:lineRule="exact"/>
        <w:ind w:firstLine="640" w:firstLineChars="200"/>
        <w:textAlignment w:val="baseline"/>
        <w:rPr>
          <w:rFonts w:eastAsia="仿宋_GB2312"/>
          <w:sz w:val="32"/>
          <w:szCs w:val="32"/>
        </w:rPr>
      </w:pPr>
      <w:r>
        <w:rPr>
          <w:rFonts w:eastAsia="仿宋_GB2312"/>
          <w:sz w:val="32"/>
          <w:szCs w:val="32"/>
        </w:rPr>
        <w:t>二、</w:t>
      </w:r>
      <w:r>
        <w:rPr>
          <w:rFonts w:hint="eastAsia" w:eastAsia="仿宋_GB2312"/>
          <w:sz w:val="32"/>
          <w:szCs w:val="32"/>
        </w:rPr>
        <w:t>你公司</w:t>
      </w:r>
      <w:r>
        <w:rPr>
          <w:rFonts w:eastAsia="仿宋_GB2312"/>
          <w:sz w:val="32"/>
          <w:szCs w:val="32"/>
        </w:rPr>
        <w:t>应重点做好以下工作：</w:t>
      </w:r>
    </w:p>
    <w:p w14:paraId="12CA0CB8">
      <w:pPr>
        <w:spacing w:line="600" w:lineRule="exact"/>
        <w:ind w:firstLine="640" w:firstLineChars="200"/>
        <w:textAlignment w:val="baseline"/>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 xml:space="preserve"> 加强施工期的环境管理，严格落实《天津市大气污染防治条例》《天津市重污染天气应急预案》《天津市环境噪声污染防治管理办法》《天津市机动车和非道路移动机械排放污染防治条例》等相关要求，做到合法施工，文明生产</w:t>
      </w:r>
      <w:r>
        <w:rPr>
          <w:rFonts w:hint="eastAsia" w:eastAsia="仿宋_GB2312"/>
          <w:sz w:val="32"/>
          <w:szCs w:val="32"/>
        </w:rPr>
        <w:t>；妥善处置含油沾染废物、拆除的</w:t>
      </w:r>
      <w:r>
        <w:rPr>
          <w:rFonts w:hint="eastAsia" w:eastAsia="仿宋_GB2312"/>
          <w:sz w:val="32"/>
          <w:szCs w:val="32"/>
          <w:lang w:eastAsia="zh-CN"/>
        </w:rPr>
        <w:t>设备</w:t>
      </w:r>
      <w:r>
        <w:rPr>
          <w:rFonts w:hint="eastAsia" w:eastAsia="仿宋_GB2312"/>
          <w:sz w:val="32"/>
          <w:szCs w:val="32"/>
        </w:rPr>
        <w:t>及其内部残油等</w:t>
      </w:r>
      <w:r>
        <w:rPr>
          <w:rFonts w:eastAsia="仿宋_GB2312"/>
          <w:sz w:val="32"/>
          <w:szCs w:val="32"/>
        </w:rPr>
        <w:t>固体</w:t>
      </w:r>
      <w:r>
        <w:rPr>
          <w:rFonts w:hint="eastAsia" w:eastAsia="仿宋_GB2312"/>
          <w:sz w:val="32"/>
          <w:szCs w:val="32"/>
        </w:rPr>
        <w:t>废弃物</w:t>
      </w:r>
      <w:r>
        <w:rPr>
          <w:rFonts w:eastAsia="仿宋_GB2312"/>
          <w:sz w:val="32"/>
          <w:szCs w:val="32"/>
        </w:rPr>
        <w:t>；合理安排施工时间和施工区域，加强对高噪声机械的管理。</w:t>
      </w:r>
    </w:p>
    <w:p w14:paraId="553569BB">
      <w:pPr>
        <w:spacing w:line="600" w:lineRule="exact"/>
        <w:ind w:firstLine="640" w:firstLineChars="200"/>
        <w:textAlignment w:val="baseline"/>
        <w:rPr>
          <w:rFonts w:eastAsia="仿宋_GB2312"/>
          <w:sz w:val="32"/>
          <w:szCs w:val="32"/>
        </w:rPr>
      </w:pPr>
      <w:r>
        <w:rPr>
          <w:rFonts w:hint="eastAsia" w:eastAsia="仿宋_GB2312"/>
          <w:sz w:val="32"/>
          <w:szCs w:val="32"/>
        </w:rPr>
        <w:t>2.运营期间，卸油产生的废气通过卸油油气回收系统返回至油罐车内；加油过程</w:t>
      </w:r>
      <w:r>
        <w:rPr>
          <w:rFonts w:eastAsia="仿宋_GB2312"/>
          <w:sz w:val="32"/>
          <w:szCs w:val="32"/>
        </w:rPr>
        <w:t>产生的废气经收集</w:t>
      </w:r>
      <w:r>
        <w:rPr>
          <w:rFonts w:hint="eastAsia" w:eastAsia="仿宋_GB2312"/>
          <w:sz w:val="32"/>
          <w:szCs w:val="32"/>
        </w:rPr>
        <w:t>后返回汽油储罐；安装与轻型汽车ORVR系统兼容的油气处理装置，汽油储罐呼吸产生的气体</w:t>
      </w:r>
      <w:r>
        <w:rPr>
          <w:rFonts w:eastAsia="仿宋_GB2312"/>
          <w:sz w:val="32"/>
          <w:szCs w:val="32"/>
        </w:rPr>
        <w:t>经收集</w:t>
      </w:r>
      <w:r>
        <w:rPr>
          <w:rFonts w:hint="eastAsia" w:eastAsia="仿宋_GB2312"/>
          <w:sz w:val="32"/>
          <w:szCs w:val="32"/>
        </w:rPr>
        <w:t>后</w:t>
      </w:r>
      <w:r>
        <w:rPr>
          <w:rFonts w:eastAsia="仿宋_GB2312"/>
          <w:sz w:val="32"/>
          <w:szCs w:val="32"/>
        </w:rPr>
        <w:t>进入</w:t>
      </w:r>
      <w:r>
        <w:rPr>
          <w:rFonts w:hint="eastAsia" w:eastAsia="仿宋_GB2312"/>
          <w:sz w:val="32"/>
          <w:szCs w:val="32"/>
        </w:rPr>
        <w:t>油气处理</w:t>
      </w:r>
      <w:r>
        <w:rPr>
          <w:rFonts w:eastAsia="仿宋_GB2312"/>
          <w:sz w:val="32"/>
          <w:szCs w:val="32"/>
        </w:rPr>
        <w:t>装置，处理</w:t>
      </w:r>
      <w:r>
        <w:rPr>
          <w:rFonts w:hint="eastAsia" w:eastAsia="仿宋_GB2312"/>
          <w:sz w:val="32"/>
          <w:szCs w:val="32"/>
        </w:rPr>
        <w:t>达标的尾气</w:t>
      </w:r>
      <w:r>
        <w:rPr>
          <w:rFonts w:eastAsia="仿宋_GB2312"/>
          <w:sz w:val="32"/>
          <w:szCs w:val="32"/>
        </w:rPr>
        <w:t>由</w:t>
      </w:r>
      <w:r>
        <w:rPr>
          <w:rFonts w:hint="eastAsia" w:eastAsia="仿宋_GB2312"/>
          <w:sz w:val="32"/>
          <w:szCs w:val="32"/>
        </w:rPr>
        <w:t>一</w:t>
      </w:r>
      <w:r>
        <w:rPr>
          <w:rFonts w:eastAsia="仿宋_GB2312"/>
          <w:sz w:val="32"/>
          <w:szCs w:val="32"/>
        </w:rPr>
        <w:t>根</w:t>
      </w:r>
      <w:r>
        <w:rPr>
          <w:rFonts w:hint="eastAsia" w:eastAsia="仿宋_GB2312"/>
          <w:sz w:val="32"/>
          <w:szCs w:val="32"/>
        </w:rPr>
        <w:t>4米</w:t>
      </w:r>
      <w:r>
        <w:rPr>
          <w:rFonts w:eastAsia="仿宋_GB2312"/>
          <w:sz w:val="32"/>
          <w:szCs w:val="32"/>
        </w:rPr>
        <w:t>高排气筒排放。</w:t>
      </w:r>
    </w:p>
    <w:p w14:paraId="37841F74">
      <w:pPr>
        <w:spacing w:line="600" w:lineRule="exact"/>
        <w:ind w:firstLine="640" w:firstLineChars="200"/>
        <w:textAlignment w:val="baseline"/>
        <w:rPr>
          <w:rFonts w:eastAsia="仿宋_GB2312"/>
          <w:sz w:val="32"/>
          <w:szCs w:val="32"/>
        </w:rPr>
      </w:pPr>
      <w:r>
        <w:rPr>
          <w:rFonts w:hint="eastAsia" w:eastAsia="仿宋_GB2312"/>
          <w:sz w:val="32"/>
          <w:szCs w:val="32"/>
        </w:rPr>
        <w:t>使用</w:t>
      </w:r>
      <w:r>
        <w:rPr>
          <w:rFonts w:eastAsia="仿宋_GB2312"/>
          <w:sz w:val="32"/>
          <w:szCs w:val="32"/>
        </w:rPr>
        <w:t>密闭性好的设备，减少</w:t>
      </w:r>
      <w:r>
        <w:rPr>
          <w:rFonts w:hint="eastAsia" w:eastAsia="仿宋_GB2312"/>
          <w:sz w:val="32"/>
          <w:szCs w:val="32"/>
        </w:rPr>
        <w:t>废气</w:t>
      </w:r>
      <w:r>
        <w:rPr>
          <w:rFonts w:eastAsia="仿宋_GB2312"/>
          <w:sz w:val="32"/>
          <w:szCs w:val="32"/>
        </w:rPr>
        <w:t>的无组织排放</w:t>
      </w:r>
      <w:r>
        <w:rPr>
          <w:rFonts w:hint="eastAsia" w:eastAsia="仿宋_GB2312"/>
          <w:sz w:val="32"/>
          <w:szCs w:val="32"/>
        </w:rPr>
        <w:t>，确保废气无组织排放浓度满足厂界限值要求。</w:t>
      </w:r>
    </w:p>
    <w:p w14:paraId="7F566E8A">
      <w:pPr>
        <w:spacing w:line="600" w:lineRule="exact"/>
        <w:ind w:firstLine="640" w:firstLineChars="200"/>
        <w:textAlignment w:val="baseline"/>
        <w:rPr>
          <w:rFonts w:eastAsia="仿宋_GB2312"/>
          <w:sz w:val="32"/>
          <w:szCs w:val="32"/>
        </w:rPr>
      </w:pPr>
      <w:r>
        <w:rPr>
          <w:rFonts w:hint="eastAsia" w:eastAsia="仿宋_GB2312"/>
          <w:sz w:val="32"/>
          <w:szCs w:val="32"/>
        </w:rPr>
        <w:t>3.</w:t>
      </w:r>
      <w:r>
        <w:rPr>
          <w:rFonts w:hint="eastAsia" w:eastAsia="仿宋_GB2312"/>
          <w:sz w:val="32"/>
          <w:szCs w:val="32"/>
          <w:lang w:eastAsia="zh-CN"/>
        </w:rPr>
        <w:t>该项目</w:t>
      </w:r>
      <w:r>
        <w:rPr>
          <w:rFonts w:hint="eastAsia" w:eastAsia="仿宋_GB2312"/>
          <w:sz w:val="32"/>
          <w:szCs w:val="32"/>
        </w:rPr>
        <w:t>不新增废水。</w:t>
      </w:r>
    </w:p>
    <w:p w14:paraId="6096DB92">
      <w:pPr>
        <w:spacing w:line="600" w:lineRule="exact"/>
        <w:ind w:firstLine="640" w:firstLineChars="200"/>
        <w:textAlignment w:val="baseline"/>
        <w:rPr>
          <w:rFonts w:eastAsia="仿宋_GB2312"/>
          <w:sz w:val="32"/>
          <w:szCs w:val="32"/>
        </w:rPr>
      </w:pPr>
      <w:r>
        <w:rPr>
          <w:rFonts w:hint="eastAsia" w:eastAsia="仿宋_GB2312"/>
          <w:sz w:val="32"/>
          <w:szCs w:val="32"/>
        </w:rPr>
        <w:t>4.站区应合理布局，选用低噪声设备，保证厂界噪声达标。</w:t>
      </w:r>
    </w:p>
    <w:p w14:paraId="637C0AF7">
      <w:pPr>
        <w:spacing w:line="600" w:lineRule="exact"/>
        <w:ind w:firstLine="640" w:firstLineChars="200"/>
        <w:textAlignment w:val="baseline"/>
        <w:rPr>
          <w:rFonts w:eastAsia="仿宋_GB2312"/>
          <w:sz w:val="32"/>
          <w:szCs w:val="32"/>
        </w:rPr>
      </w:pPr>
      <w:r>
        <w:rPr>
          <w:rFonts w:hint="eastAsia" w:eastAsia="仿宋_GB2312"/>
          <w:sz w:val="32"/>
          <w:szCs w:val="32"/>
        </w:rPr>
        <w:t>5.做好各类固体废物的收集、贮存、运输和处置，做到资源化、减量化、无害化。</w:t>
      </w:r>
      <w:r>
        <w:rPr>
          <w:rFonts w:hint="eastAsia" w:eastAsia="仿宋_GB2312"/>
          <w:sz w:val="32"/>
          <w:szCs w:val="32"/>
          <w:lang w:eastAsia="zh-CN"/>
        </w:rPr>
        <w:t>该项目</w:t>
      </w:r>
      <w:r>
        <w:rPr>
          <w:rFonts w:hint="eastAsia" w:eastAsia="仿宋_GB2312"/>
          <w:sz w:val="32"/>
          <w:szCs w:val="32"/>
        </w:rPr>
        <w:t xml:space="preserve">不新增生活垃圾；含油废水、罐底废油渣、含油海绵、废活性炭、沾染废物、废干燥剂、废滤芯、含油废砂、废吸油毡等危险废物须交由有相应资质的单位进行处理、处置。 </w:t>
      </w:r>
    </w:p>
    <w:p w14:paraId="72C7655F">
      <w:pPr>
        <w:spacing w:line="600" w:lineRule="exact"/>
        <w:ind w:firstLine="640" w:firstLineChars="200"/>
        <w:textAlignment w:val="baseline"/>
        <w:rPr>
          <w:rFonts w:eastAsia="仿宋_GB2312"/>
          <w:sz w:val="32"/>
          <w:szCs w:val="32"/>
        </w:rPr>
      </w:pPr>
      <w:r>
        <w:rPr>
          <w:rFonts w:hint="eastAsia" w:eastAsia="仿宋_GB2312"/>
          <w:sz w:val="32"/>
          <w:szCs w:val="32"/>
        </w:rPr>
        <w:t>危险废物暂存场所应按照相关规定进行完善和管理，并</w:t>
      </w:r>
      <w:r>
        <w:rPr>
          <w:rFonts w:eastAsia="仿宋_GB2312"/>
          <w:sz w:val="32"/>
          <w:szCs w:val="32"/>
        </w:rPr>
        <w:t>按照</w:t>
      </w:r>
      <w:r>
        <w:rPr>
          <w:rFonts w:hint="default" w:eastAsia="仿宋_GB2312"/>
          <w:bCs/>
          <w:sz w:val="32"/>
          <w:szCs w:val="32"/>
          <w:lang w:eastAsia="zh-CN"/>
        </w:rPr>
        <w:t>《危险废物规范化环境管理评估指标》</w:t>
      </w:r>
      <w:r>
        <w:rPr>
          <w:rFonts w:eastAsia="仿宋_GB2312"/>
          <w:sz w:val="32"/>
          <w:szCs w:val="32"/>
        </w:rPr>
        <w:t>做好危险废物规范化管理工作。</w:t>
      </w:r>
    </w:p>
    <w:p w14:paraId="7B629415">
      <w:pPr>
        <w:spacing w:line="600" w:lineRule="exact"/>
        <w:textAlignment w:val="baseline"/>
        <w:rPr>
          <w:rFonts w:eastAsia="仿宋_GB2312"/>
          <w:sz w:val="32"/>
          <w:szCs w:val="32"/>
        </w:rPr>
      </w:pPr>
      <w:r>
        <w:rPr>
          <w:rFonts w:hint="eastAsia" w:eastAsia="仿宋_GB2312"/>
          <w:bCs/>
          <w:sz w:val="32"/>
          <w:szCs w:val="32"/>
        </w:rPr>
        <w:t xml:space="preserve">    6.</w:t>
      </w:r>
      <w:r>
        <w:rPr>
          <w:rFonts w:eastAsia="仿宋_GB2312"/>
          <w:bCs/>
          <w:sz w:val="32"/>
          <w:szCs w:val="32"/>
        </w:rPr>
        <w:t>采取严格的防渗、防泄漏、防腐蚀、加强管理等措施，</w:t>
      </w:r>
      <w:r>
        <w:rPr>
          <w:rFonts w:eastAsia="仿宋_GB2312"/>
          <w:sz w:val="32"/>
          <w:szCs w:val="32"/>
        </w:rPr>
        <w:t>做好地下水污染和土壤污染的防控工作：完善分区防渗，合理设置地下水监测井。</w:t>
      </w:r>
    </w:p>
    <w:p w14:paraId="7EBB0C59">
      <w:pPr>
        <w:spacing w:line="600" w:lineRule="exact"/>
        <w:ind w:firstLine="640"/>
        <w:textAlignment w:val="baseline"/>
        <w:rPr>
          <w:rFonts w:eastAsia="仿宋_GB2312"/>
          <w:sz w:val="32"/>
          <w:szCs w:val="32"/>
        </w:rPr>
      </w:pPr>
      <w:r>
        <w:rPr>
          <w:rFonts w:hint="eastAsia" w:eastAsia="仿宋_GB2312"/>
          <w:sz w:val="32"/>
          <w:szCs w:val="32"/>
        </w:rPr>
        <w:t>留存隐蔽工程施工期间的影像资料，作为项目竣工环境保护验收的凭证。</w:t>
      </w:r>
    </w:p>
    <w:p w14:paraId="6348AEE3">
      <w:pPr>
        <w:spacing w:line="600" w:lineRule="exact"/>
        <w:ind w:firstLine="640"/>
        <w:textAlignment w:val="baseline"/>
        <w:rPr>
          <w:rFonts w:eastAsia="仿宋_GB2312"/>
          <w:sz w:val="32"/>
          <w:szCs w:val="32"/>
        </w:rPr>
      </w:pPr>
      <w:r>
        <w:rPr>
          <w:rFonts w:hint="eastAsia" w:eastAsia="仿宋_GB2312"/>
          <w:sz w:val="32"/>
          <w:szCs w:val="32"/>
        </w:rPr>
        <w:t>7.落实报告表提出的环境监测计划，定期开展监测工作。</w:t>
      </w:r>
    </w:p>
    <w:p w14:paraId="3D05C1FC">
      <w:pPr>
        <w:spacing w:line="600" w:lineRule="exact"/>
        <w:ind w:firstLine="640"/>
        <w:textAlignment w:val="baseline"/>
        <w:rPr>
          <w:rFonts w:eastAsia="仿宋_GB2312"/>
          <w:sz w:val="32"/>
          <w:szCs w:val="32"/>
        </w:rPr>
      </w:pPr>
      <w:r>
        <w:rPr>
          <w:rFonts w:hint="eastAsia" w:eastAsia="仿宋_GB2312"/>
          <w:sz w:val="32"/>
          <w:szCs w:val="32"/>
        </w:rPr>
        <w:t>8.强化各项环境风险防范措施，完善</w:t>
      </w:r>
      <w:r>
        <w:rPr>
          <w:rFonts w:eastAsia="仿宋_GB2312"/>
          <w:sz w:val="32"/>
          <w:szCs w:val="32"/>
        </w:rPr>
        <w:t>突发环境风险应急预案并向区生态环境局报备</w:t>
      </w:r>
      <w:r>
        <w:rPr>
          <w:rFonts w:hint="eastAsia" w:eastAsia="仿宋_GB2312"/>
          <w:kern w:val="44"/>
          <w:sz w:val="32"/>
          <w:szCs w:val="32"/>
        </w:rPr>
        <w:t>；</w:t>
      </w:r>
      <w:r>
        <w:rPr>
          <w:rFonts w:eastAsia="仿宋_GB2312"/>
          <w:sz w:val="32"/>
          <w:szCs w:val="32"/>
        </w:rPr>
        <w:t>定期开展突发环境事件应急演练，有效防范和应对环境风险，杜绝环境污染事故</w:t>
      </w:r>
      <w:r>
        <w:rPr>
          <w:rFonts w:hint="eastAsia" w:eastAsia="仿宋_GB2312"/>
          <w:sz w:val="32"/>
          <w:szCs w:val="32"/>
        </w:rPr>
        <w:t>。</w:t>
      </w:r>
    </w:p>
    <w:p w14:paraId="08A23167">
      <w:pPr>
        <w:spacing w:line="600" w:lineRule="exact"/>
        <w:ind w:firstLine="640" w:firstLineChars="200"/>
        <w:textAlignment w:val="baseline"/>
        <w:rPr>
          <w:rFonts w:eastAsia="仿宋_GB2312"/>
          <w:kern w:val="44"/>
          <w:sz w:val="32"/>
          <w:szCs w:val="32"/>
        </w:rPr>
      </w:pPr>
      <w:r>
        <w:rPr>
          <w:rFonts w:hint="eastAsia" w:eastAsia="仿宋_GB2312"/>
          <w:kern w:val="44"/>
          <w:sz w:val="32"/>
          <w:szCs w:val="32"/>
        </w:rPr>
        <w:t>三</w:t>
      </w:r>
      <w:r>
        <w:rPr>
          <w:rFonts w:eastAsia="仿宋_GB2312"/>
          <w:kern w:val="44"/>
          <w:sz w:val="32"/>
          <w:szCs w:val="32"/>
        </w:rPr>
        <w:t>、</w:t>
      </w:r>
      <w:r>
        <w:rPr>
          <w:rFonts w:hint="eastAsia" w:eastAsia="仿宋_GB2312"/>
          <w:kern w:val="44"/>
          <w:sz w:val="32"/>
          <w:szCs w:val="32"/>
          <w:lang w:eastAsia="zh-CN"/>
        </w:rPr>
        <w:t>该项目</w:t>
      </w:r>
      <w:r>
        <w:rPr>
          <w:rFonts w:hint="eastAsia" w:eastAsia="仿宋_GB2312"/>
          <w:kern w:val="44"/>
          <w:sz w:val="32"/>
          <w:szCs w:val="32"/>
        </w:rPr>
        <w:t>不新增污染物总量指标。</w:t>
      </w:r>
    </w:p>
    <w:p w14:paraId="1D780BF0">
      <w:pPr>
        <w:spacing w:line="600" w:lineRule="exact"/>
        <w:ind w:firstLine="640" w:firstLineChars="200"/>
        <w:textAlignment w:val="baseline"/>
        <w:rPr>
          <w:rFonts w:eastAsia="仿宋_GB2312"/>
          <w:sz w:val="32"/>
          <w:szCs w:val="32"/>
        </w:rPr>
      </w:pPr>
      <w:r>
        <w:rPr>
          <w:rFonts w:hint="eastAsia" w:eastAsia="仿宋_GB2312"/>
          <w:sz w:val="32"/>
          <w:szCs w:val="32"/>
        </w:rPr>
        <w:t>四、</w:t>
      </w:r>
      <w:r>
        <w:rPr>
          <w:rFonts w:eastAsia="仿宋_GB2312"/>
          <w:sz w:val="32"/>
          <w:szCs w:val="32"/>
        </w:rPr>
        <w:t>项目竣工后</w:t>
      </w:r>
      <w:r>
        <w:rPr>
          <w:rFonts w:hint="eastAsia" w:eastAsia="仿宋_GB2312"/>
          <w:sz w:val="32"/>
          <w:szCs w:val="32"/>
        </w:rPr>
        <w:t>要</w:t>
      </w:r>
      <w:r>
        <w:rPr>
          <w:rFonts w:eastAsia="仿宋_GB2312"/>
          <w:sz w:val="32"/>
          <w:szCs w:val="32"/>
        </w:rPr>
        <w:t>按规定的标准和程序开展环境保护验收，经验收合格后方可正式投入使用；在该项目发生实际排污之前，你公司应按照法律法规要求，做好排污许可管理相关工作；若项目的性质、规模、地点、生产工艺或防治污染的措施发生重大变动，须重新报批环境影响评价文件。</w:t>
      </w:r>
    </w:p>
    <w:p w14:paraId="67E4118C">
      <w:pPr>
        <w:spacing w:line="600" w:lineRule="exact"/>
        <w:ind w:firstLine="640" w:firstLineChars="200"/>
        <w:textAlignment w:val="baseline"/>
        <w:rPr>
          <w:rFonts w:eastAsia="仿宋_GB2312"/>
          <w:sz w:val="32"/>
          <w:szCs w:val="32"/>
        </w:rPr>
      </w:pPr>
      <w:r>
        <w:rPr>
          <w:rFonts w:hint="eastAsia" w:eastAsia="仿宋_GB2312"/>
          <w:sz w:val="32"/>
          <w:szCs w:val="32"/>
        </w:rPr>
        <w:t>五、项目应执行以下污染物排放标准：</w:t>
      </w:r>
    </w:p>
    <w:p w14:paraId="1B69D6D7">
      <w:pPr>
        <w:pStyle w:val="7"/>
        <w:widowControl/>
        <w:rPr>
          <w:rFonts w:hint="default" w:ascii="Times New Roman" w:hAnsi="Times New Roman" w:eastAsia="仿宋_GB2312"/>
          <w:kern w:val="2"/>
          <w:sz w:val="32"/>
          <w:szCs w:val="32"/>
        </w:rPr>
      </w:pPr>
      <w:r>
        <w:rPr>
          <w:rFonts w:ascii="Times New Roman" w:hAnsi="Times New Roman" w:eastAsia="仿宋_GB2312"/>
          <w:kern w:val="2"/>
          <w:sz w:val="32"/>
          <w:szCs w:val="32"/>
        </w:rPr>
        <w:t xml:space="preserve">    1.</w:t>
      </w:r>
      <w:r>
        <w:rPr>
          <w:rFonts w:hint="default" w:ascii="Times New Roman" w:hAnsi="Times New Roman" w:eastAsia="仿宋_GB2312"/>
          <w:kern w:val="2"/>
          <w:sz w:val="32"/>
          <w:szCs w:val="32"/>
        </w:rPr>
        <w:t>《加油站大气污染物排放标准》（</w:t>
      </w:r>
      <w:r>
        <w:rPr>
          <w:rFonts w:ascii="Times New Roman" w:hAnsi="Times New Roman" w:eastAsia="仿宋_GB2312"/>
          <w:kern w:val="2"/>
          <w:sz w:val="32"/>
          <w:szCs w:val="32"/>
        </w:rPr>
        <w:t>DB12/1302-2024</w:t>
      </w:r>
      <w:r>
        <w:rPr>
          <w:rFonts w:hint="default" w:ascii="Times New Roman" w:hAnsi="Times New Roman" w:eastAsia="仿宋_GB2312"/>
          <w:kern w:val="2"/>
          <w:sz w:val="32"/>
          <w:szCs w:val="32"/>
        </w:rPr>
        <w:t>）；</w:t>
      </w:r>
    </w:p>
    <w:p w14:paraId="50F91D3D">
      <w:pPr>
        <w:spacing w:line="600" w:lineRule="exact"/>
        <w:ind w:firstLine="640" w:firstLineChars="200"/>
        <w:textAlignment w:val="baseline"/>
        <w:rPr>
          <w:rFonts w:eastAsia="仿宋_GB2312"/>
          <w:sz w:val="32"/>
          <w:szCs w:val="32"/>
        </w:rPr>
      </w:pPr>
      <w:r>
        <w:rPr>
          <w:rFonts w:hint="eastAsia" w:eastAsia="仿宋_GB2312"/>
          <w:sz w:val="32"/>
          <w:szCs w:val="32"/>
        </w:rPr>
        <w:t>2.</w:t>
      </w:r>
      <w:r>
        <w:rPr>
          <w:rFonts w:eastAsia="仿宋_GB2312"/>
          <w:sz w:val="32"/>
          <w:szCs w:val="32"/>
        </w:rPr>
        <w:t>《工业企业厂界环境噪声排放标准》（GB12348-2008）</w:t>
      </w:r>
      <w:r>
        <w:rPr>
          <w:rFonts w:hint="eastAsia" w:eastAsia="仿宋_GB2312"/>
          <w:sz w:val="32"/>
          <w:szCs w:val="32"/>
        </w:rPr>
        <w:t>2类、</w:t>
      </w:r>
      <w:r>
        <w:rPr>
          <w:rFonts w:eastAsia="仿宋_GB2312"/>
          <w:sz w:val="32"/>
          <w:szCs w:val="32"/>
        </w:rPr>
        <w:t>4类；</w:t>
      </w:r>
    </w:p>
    <w:p w14:paraId="144E61D6">
      <w:pPr>
        <w:spacing w:line="600" w:lineRule="exact"/>
        <w:ind w:firstLine="630"/>
        <w:textAlignment w:val="baseline"/>
        <w:rPr>
          <w:rFonts w:eastAsia="仿宋_GB2312"/>
          <w:sz w:val="32"/>
          <w:szCs w:val="32"/>
        </w:rPr>
      </w:pPr>
      <w:r>
        <w:rPr>
          <w:rFonts w:hint="eastAsia" w:eastAsia="仿宋_GB2312"/>
          <w:sz w:val="32"/>
          <w:szCs w:val="32"/>
        </w:rPr>
        <w:t>3.</w:t>
      </w:r>
      <w:r>
        <w:rPr>
          <w:rFonts w:eastAsia="仿宋_GB2312"/>
          <w:sz w:val="32"/>
          <w:szCs w:val="32"/>
        </w:rPr>
        <w:t>《危险废物贮存污染控制标准》（GB18597-2023）；</w:t>
      </w:r>
    </w:p>
    <w:p w14:paraId="1496804E">
      <w:pPr>
        <w:spacing w:line="600" w:lineRule="exact"/>
        <w:ind w:firstLine="630"/>
        <w:textAlignment w:val="baseline"/>
        <w:rPr>
          <w:rFonts w:hint="eastAsia" w:eastAsia="仿宋_GB2312"/>
          <w:sz w:val="32"/>
          <w:szCs w:val="32"/>
          <w:lang w:eastAsia="zh-CN"/>
        </w:rPr>
      </w:pPr>
      <w:r>
        <w:rPr>
          <w:rFonts w:hint="eastAsia" w:eastAsia="仿宋_GB2312"/>
          <w:sz w:val="32"/>
          <w:szCs w:val="32"/>
        </w:rPr>
        <w:t>4.</w:t>
      </w:r>
      <w:r>
        <w:rPr>
          <w:rFonts w:eastAsia="仿宋_GB2312"/>
          <w:sz w:val="32"/>
          <w:szCs w:val="32"/>
        </w:rPr>
        <w:t>《危险废物收集 贮存 运输技术规范》（HJ2025-2012）</w:t>
      </w:r>
      <w:r>
        <w:rPr>
          <w:rFonts w:hint="eastAsia" w:eastAsia="仿宋_GB2312"/>
          <w:sz w:val="32"/>
          <w:szCs w:val="32"/>
          <w:lang w:eastAsia="zh-CN"/>
        </w:rPr>
        <w:t>。</w:t>
      </w:r>
    </w:p>
    <w:p w14:paraId="01ADF606">
      <w:pPr>
        <w:spacing w:line="600" w:lineRule="exact"/>
        <w:ind w:firstLine="640" w:firstLineChars="200"/>
        <w:textAlignment w:val="baseline"/>
        <w:rPr>
          <w:rFonts w:hint="eastAsia" w:eastAsia="仿宋_GB2312"/>
          <w:color w:val="auto"/>
          <w:sz w:val="32"/>
          <w:szCs w:val="32"/>
        </w:rPr>
      </w:pPr>
      <w:r>
        <w:rPr>
          <w:rFonts w:hint="eastAsia" w:eastAsia="仿宋_GB2312"/>
          <w:color w:val="auto"/>
          <w:sz w:val="32"/>
          <w:szCs w:val="32"/>
        </w:rPr>
        <w:t>此复。</w:t>
      </w:r>
    </w:p>
    <w:p w14:paraId="1339E4FC">
      <w:pPr>
        <w:pStyle w:val="2"/>
        <w:rPr>
          <w:rFonts w:hint="eastAsia" w:eastAsia="仿宋_GB2312"/>
          <w:color w:val="auto"/>
          <w:sz w:val="32"/>
          <w:szCs w:val="32"/>
        </w:rPr>
      </w:pPr>
    </w:p>
    <w:p w14:paraId="2F76E54C">
      <w:pPr>
        <w:rPr>
          <w:rFonts w:hint="eastAsia" w:eastAsia="仿宋_GB2312"/>
          <w:color w:val="auto"/>
          <w:sz w:val="32"/>
          <w:szCs w:val="32"/>
        </w:rPr>
      </w:pPr>
    </w:p>
    <w:p w14:paraId="3EBD1FF9">
      <w:pPr>
        <w:pStyle w:val="2"/>
        <w:rPr>
          <w:rFonts w:hint="eastAsia" w:eastAsia="仿宋_GB2312"/>
          <w:color w:val="auto"/>
          <w:sz w:val="32"/>
          <w:szCs w:val="32"/>
        </w:rPr>
      </w:pPr>
    </w:p>
    <w:p w14:paraId="53FD9446">
      <w:pPr>
        <w:keepNext w:val="0"/>
        <w:keepLines w:val="0"/>
        <w:pageBreakBefore w:val="0"/>
        <w:widowControl w:val="0"/>
        <w:kinsoku/>
        <w:wordWrap/>
        <w:overflowPunct/>
        <w:topLinePunct w:val="0"/>
        <w:autoSpaceDE/>
        <w:autoSpaceDN/>
        <w:bidi w:val="0"/>
        <w:adjustRightInd/>
        <w:snapToGrid/>
        <w:spacing w:line="600" w:lineRule="exact"/>
        <w:ind w:right="1575" w:rightChars="750" w:firstLine="629"/>
        <w:jc w:val="right"/>
        <w:textAlignment w:val="baseline"/>
        <w:rPr>
          <w:rFonts w:hint="eastAsia" w:eastAsia="仿宋_GB2312"/>
          <w:sz w:val="32"/>
          <w:szCs w:val="32"/>
          <w:lang w:eastAsia="zh-CN"/>
        </w:rPr>
      </w:pPr>
      <w:r>
        <w:rPr>
          <w:rFonts w:hint="eastAsia" w:eastAsia="仿宋_GB2312"/>
          <w:sz w:val="32"/>
          <w:szCs w:val="32"/>
          <w:lang w:eastAsia="zh-CN"/>
        </w:rPr>
        <w:t>滨海新区行政审批局</w:t>
      </w:r>
    </w:p>
    <w:p w14:paraId="012027EB">
      <w:pPr>
        <w:pStyle w:val="2"/>
        <w:keepNext/>
        <w:keepLines/>
        <w:pageBreakBefore w:val="0"/>
        <w:widowControl w:val="0"/>
        <w:kinsoku/>
        <w:wordWrap/>
        <w:overflowPunct/>
        <w:topLinePunct w:val="0"/>
        <w:autoSpaceDE/>
        <w:autoSpaceDN/>
        <w:bidi w:val="0"/>
        <w:adjustRightInd/>
        <w:snapToGrid/>
        <w:ind w:right="1680" w:rightChars="800"/>
        <w:jc w:val="right"/>
        <w:textAlignment w:val="auto"/>
        <w:rPr>
          <w:rFonts w:hint="eastAsia"/>
          <w:lang w:eastAsia="zh-CN"/>
        </w:rPr>
      </w:pPr>
      <w:r>
        <w:rPr>
          <w:rFonts w:eastAsia="仿宋_GB2312"/>
          <w:sz w:val="32"/>
          <w:szCs w:val="32"/>
          <w:highlight w:val="none"/>
        </w:rPr>
        <w:t>20</w:t>
      </w:r>
      <w:r>
        <w:rPr>
          <w:rFonts w:hint="eastAsia" w:eastAsia="仿宋_GB2312"/>
          <w:sz w:val="32"/>
          <w:szCs w:val="32"/>
          <w:highlight w:val="none"/>
        </w:rPr>
        <w:t>2</w:t>
      </w:r>
      <w:r>
        <w:rPr>
          <w:rFonts w:hint="eastAsia" w:eastAsia="仿宋_GB2312"/>
          <w:sz w:val="32"/>
          <w:szCs w:val="32"/>
          <w:highlight w:val="none"/>
          <w:lang w:val="en-US" w:eastAsia="zh-CN"/>
        </w:rPr>
        <w:t>5</w:t>
      </w:r>
      <w:r>
        <w:rPr>
          <w:rFonts w:eastAsia="仿宋_GB2312"/>
          <w:sz w:val="32"/>
          <w:szCs w:val="32"/>
          <w:highlight w:val="none"/>
        </w:rPr>
        <w:t>年</w:t>
      </w:r>
      <w:r>
        <w:rPr>
          <w:rFonts w:hint="eastAsia" w:eastAsia="仿宋_GB2312"/>
          <w:color w:val="auto"/>
          <w:sz w:val="32"/>
          <w:szCs w:val="32"/>
          <w:highlight w:val="none"/>
          <w:lang w:val="en-US" w:eastAsia="zh-CN"/>
        </w:rPr>
        <w:t>7</w:t>
      </w:r>
      <w:r>
        <w:rPr>
          <w:rFonts w:eastAsia="仿宋_GB2312"/>
          <w:color w:val="auto"/>
          <w:sz w:val="32"/>
          <w:szCs w:val="32"/>
          <w:highlight w:val="none"/>
        </w:rPr>
        <w:t>月</w:t>
      </w:r>
      <w:r>
        <w:rPr>
          <w:rFonts w:hint="eastAsia" w:eastAsia="仿宋_GB2312"/>
          <w:color w:val="auto"/>
          <w:sz w:val="32"/>
          <w:szCs w:val="32"/>
          <w:highlight w:val="none"/>
          <w:lang w:val="en-US" w:eastAsia="zh-CN"/>
        </w:rPr>
        <w:t>22</w:t>
      </w:r>
      <w:r>
        <w:rPr>
          <w:rFonts w:eastAsia="仿宋_GB2312"/>
          <w:color w:val="auto"/>
          <w:sz w:val="32"/>
          <w:szCs w:val="32"/>
          <w:highlight w:val="none"/>
        </w:rPr>
        <w:t>日</w:t>
      </w:r>
    </w:p>
    <w:p w14:paraId="4AFFF36E">
      <w:pPr>
        <w:pStyle w:val="2"/>
        <w:spacing w:line="460" w:lineRule="exact"/>
      </w:pPr>
    </w:p>
    <w:p w14:paraId="26255D06">
      <w:pPr>
        <w:pageBreakBefore w:val="0"/>
        <w:widowControl w:val="0"/>
        <w:kinsoku/>
        <w:wordWrap/>
        <w:overflowPunct/>
        <w:topLinePunct w:val="0"/>
        <w:autoSpaceDE/>
        <w:autoSpaceDN/>
        <w:bidi w:val="0"/>
        <w:adjustRightInd/>
        <w:snapToGrid/>
        <w:spacing w:line="420" w:lineRule="exact"/>
        <w:textAlignment w:val="auto"/>
      </w:pPr>
    </w:p>
    <w:p w14:paraId="4CAEAB60">
      <w:pPr>
        <w:pStyle w:val="2"/>
        <w:pageBreakBefore w:val="0"/>
        <w:widowControl w:val="0"/>
        <w:kinsoku/>
        <w:wordWrap/>
        <w:overflowPunct/>
        <w:topLinePunct w:val="0"/>
        <w:autoSpaceDE/>
        <w:autoSpaceDN/>
        <w:bidi w:val="0"/>
        <w:adjustRightInd/>
        <w:snapToGrid/>
        <w:spacing w:line="420" w:lineRule="exact"/>
        <w:textAlignment w:val="auto"/>
      </w:pPr>
    </w:p>
    <w:p w14:paraId="102AB50D">
      <w:pPr>
        <w:pageBreakBefore w:val="0"/>
        <w:widowControl w:val="0"/>
        <w:kinsoku/>
        <w:wordWrap/>
        <w:overflowPunct/>
        <w:topLinePunct w:val="0"/>
        <w:autoSpaceDE/>
        <w:autoSpaceDN/>
        <w:bidi w:val="0"/>
        <w:adjustRightInd/>
        <w:snapToGrid/>
        <w:spacing w:line="420" w:lineRule="exact"/>
        <w:textAlignment w:val="auto"/>
      </w:pPr>
    </w:p>
    <w:p w14:paraId="0745F951">
      <w:pPr>
        <w:pStyle w:val="2"/>
        <w:pageBreakBefore w:val="0"/>
        <w:widowControl w:val="0"/>
        <w:kinsoku/>
        <w:wordWrap/>
        <w:overflowPunct/>
        <w:topLinePunct w:val="0"/>
        <w:autoSpaceDE/>
        <w:autoSpaceDN/>
        <w:bidi w:val="0"/>
        <w:adjustRightInd/>
        <w:snapToGrid/>
        <w:spacing w:line="420" w:lineRule="exact"/>
        <w:textAlignment w:val="auto"/>
      </w:pPr>
    </w:p>
    <w:p w14:paraId="6ACA3549">
      <w:pPr>
        <w:pageBreakBefore w:val="0"/>
        <w:widowControl w:val="0"/>
        <w:kinsoku/>
        <w:wordWrap/>
        <w:overflowPunct/>
        <w:topLinePunct w:val="0"/>
        <w:autoSpaceDE/>
        <w:autoSpaceDN/>
        <w:bidi w:val="0"/>
        <w:adjustRightInd/>
        <w:snapToGrid/>
        <w:spacing w:line="420" w:lineRule="exact"/>
        <w:textAlignment w:val="auto"/>
      </w:pPr>
    </w:p>
    <w:p w14:paraId="3C0FE3E9">
      <w:pPr>
        <w:pStyle w:val="2"/>
        <w:pageBreakBefore w:val="0"/>
        <w:widowControl w:val="0"/>
        <w:kinsoku/>
        <w:wordWrap/>
        <w:overflowPunct/>
        <w:topLinePunct w:val="0"/>
        <w:autoSpaceDE/>
        <w:autoSpaceDN/>
        <w:bidi w:val="0"/>
        <w:adjustRightInd/>
        <w:snapToGrid/>
        <w:spacing w:line="420" w:lineRule="exact"/>
        <w:textAlignment w:val="auto"/>
      </w:pPr>
    </w:p>
    <w:p w14:paraId="08862D12">
      <w:pPr>
        <w:pageBreakBefore w:val="0"/>
        <w:widowControl w:val="0"/>
        <w:kinsoku/>
        <w:wordWrap/>
        <w:overflowPunct/>
        <w:topLinePunct w:val="0"/>
        <w:autoSpaceDE/>
        <w:autoSpaceDN/>
        <w:bidi w:val="0"/>
        <w:adjustRightInd/>
        <w:snapToGrid/>
        <w:spacing w:line="420" w:lineRule="exact"/>
        <w:textAlignment w:val="auto"/>
      </w:pPr>
    </w:p>
    <w:p w14:paraId="434B2126">
      <w:pPr>
        <w:pStyle w:val="2"/>
        <w:pageBreakBefore w:val="0"/>
        <w:widowControl w:val="0"/>
        <w:kinsoku/>
        <w:wordWrap/>
        <w:overflowPunct/>
        <w:topLinePunct w:val="0"/>
        <w:autoSpaceDE/>
        <w:autoSpaceDN/>
        <w:bidi w:val="0"/>
        <w:adjustRightInd/>
        <w:snapToGrid/>
        <w:spacing w:line="420" w:lineRule="exact"/>
        <w:textAlignment w:val="auto"/>
      </w:pPr>
    </w:p>
    <w:p w14:paraId="15494A00">
      <w:pPr>
        <w:pageBreakBefore w:val="0"/>
        <w:widowControl w:val="0"/>
        <w:kinsoku/>
        <w:wordWrap/>
        <w:overflowPunct/>
        <w:topLinePunct w:val="0"/>
        <w:autoSpaceDE/>
        <w:autoSpaceDN/>
        <w:bidi w:val="0"/>
        <w:adjustRightInd/>
        <w:snapToGrid/>
        <w:spacing w:line="420" w:lineRule="exact"/>
        <w:textAlignment w:val="auto"/>
      </w:pPr>
    </w:p>
    <w:p w14:paraId="41D51C13">
      <w:pPr>
        <w:pStyle w:val="2"/>
      </w:pPr>
    </w:p>
    <w:p w14:paraId="0CEC06A8">
      <w:pPr>
        <w:spacing w:line="420" w:lineRule="exact"/>
      </w:pPr>
    </w:p>
    <w:p w14:paraId="096F09F3">
      <w:pPr>
        <w:spacing w:line="680" w:lineRule="exact"/>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rPr>
        <w:t xml:space="preserve">  </w:t>
      </w:r>
      <w:r>
        <w:rPr>
          <w:rFonts w:eastAsia="仿宋_GB2312"/>
          <w:sz w:val="28"/>
          <w:szCs w:val="28"/>
        </w:rPr>
        <w:t xml:space="preserve">     （共印</w:t>
      </w:r>
      <w:r>
        <w:rPr>
          <w:rFonts w:hint="eastAsia" w:eastAsia="仿宋_GB2312"/>
          <w:sz w:val="28"/>
          <w:szCs w:val="28"/>
        </w:rPr>
        <w:t>3</w:t>
      </w:r>
      <w:r>
        <w:rPr>
          <w:rFonts w:eastAsia="仿宋_GB2312"/>
          <w:sz w:val="28"/>
          <w:szCs w:val="28"/>
        </w:rPr>
        <w:t>份）</w:t>
      </w:r>
    </w:p>
    <w:tbl>
      <w:tblPr>
        <w:tblStyle w:val="8"/>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797F8E69">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78727A25">
            <w:pPr>
              <w:spacing w:line="680" w:lineRule="exact"/>
              <w:ind w:right="160"/>
              <w:rPr>
                <w:sz w:val="32"/>
              </w:rPr>
            </w:pPr>
            <w:r>
              <w:rPr>
                <w:rFonts w:eastAsia="仿宋_GB2312"/>
                <w:sz w:val="28"/>
                <w:szCs w:val="28"/>
              </w:rPr>
              <w:t>抄  送：天津市滨海新区生态环境局</w:t>
            </w:r>
          </w:p>
        </w:tc>
      </w:tr>
    </w:tbl>
    <w:p w14:paraId="09A483EB">
      <w:pPr>
        <w:rPr>
          <w:rFonts w:ascii="仿宋_GB2312" w:eastAsia="仿宋_GB2312"/>
          <w:sz w:val="32"/>
          <w:szCs w:val="32"/>
          <w:highlight w:val="cyan"/>
        </w:rPr>
      </w:pPr>
      <w:r>
        <w:rPr>
          <w:rFonts w:eastAsia="仿宋_GB2312"/>
          <w:sz w:val="28"/>
          <w:szCs w:val="28"/>
        </w:rPr>
        <w:t xml:space="preserve">天津市滨海新区行政审批局             </w:t>
      </w:r>
      <w:r>
        <w:rPr>
          <w:rFonts w:hint="eastAsia" w:eastAsia="仿宋_GB2312"/>
          <w:sz w:val="28"/>
          <w:szCs w:val="28"/>
        </w:rPr>
        <w:t xml:space="preserve">   </w:t>
      </w:r>
      <w:r>
        <w:rPr>
          <w:rFonts w:eastAsia="仿宋_GB2312"/>
          <w:sz w:val="28"/>
          <w:szCs w:val="28"/>
          <w:highlight w:val="none"/>
        </w:rPr>
        <w:t xml:space="preserve">  </w:t>
      </w:r>
      <w:r>
        <w:rPr>
          <w:rFonts w:hint="eastAsia" w:eastAsia="仿宋_GB2312"/>
          <w:sz w:val="28"/>
          <w:szCs w:val="28"/>
          <w:highlight w:val="none"/>
        </w:rPr>
        <w:t xml:space="preserve"> </w:t>
      </w:r>
      <w:r>
        <w:rPr>
          <w:rFonts w:eastAsia="仿宋_GB2312"/>
          <w:sz w:val="28"/>
          <w:szCs w:val="28"/>
          <w:highlight w:val="none"/>
        </w:rPr>
        <w:t>20</w:t>
      </w:r>
      <w:r>
        <w:rPr>
          <w:rFonts w:hint="eastAsia" w:eastAsia="仿宋_GB2312"/>
          <w:sz w:val="28"/>
          <w:szCs w:val="28"/>
          <w:highlight w:val="none"/>
        </w:rPr>
        <w:t>25</w:t>
      </w:r>
      <w:r>
        <w:rPr>
          <w:rFonts w:eastAsia="仿宋_GB2312"/>
          <w:sz w:val="28"/>
          <w:szCs w:val="28"/>
          <w:highlight w:val="none"/>
        </w:rPr>
        <w:t>年</w:t>
      </w:r>
      <w:r>
        <w:rPr>
          <w:rFonts w:hint="eastAsia" w:eastAsia="仿宋_GB2312"/>
          <w:sz w:val="28"/>
          <w:szCs w:val="28"/>
          <w:highlight w:val="none"/>
          <w:lang w:val="en-US" w:eastAsia="zh-CN"/>
        </w:rPr>
        <w:t>7</w:t>
      </w:r>
      <w:r>
        <w:rPr>
          <w:rFonts w:eastAsia="仿宋_GB2312"/>
          <w:sz w:val="28"/>
          <w:szCs w:val="28"/>
          <w:highlight w:val="none"/>
        </w:rPr>
        <w:t>月</w:t>
      </w:r>
      <w:r>
        <w:rPr>
          <w:rFonts w:hint="eastAsia" w:eastAsia="仿宋_GB2312"/>
          <w:sz w:val="28"/>
          <w:szCs w:val="28"/>
          <w:highlight w:val="none"/>
          <w:lang w:val="en-US" w:eastAsia="zh-CN"/>
        </w:rPr>
        <w:t>22</w:t>
      </w:r>
      <w:r>
        <w:rPr>
          <w:rFonts w:eastAsia="仿宋_GB2312"/>
          <w:sz w:val="28"/>
          <w:szCs w:val="28"/>
          <w:highlight w:val="none"/>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06A95">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18824">
                          <w:pPr>
                            <w:pStyle w:val="5"/>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218824">
                    <w:pPr>
                      <w:pStyle w:val="5"/>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1739">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0056207A">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B845C"/>
    <w:multiLevelType w:val="singleLevel"/>
    <w:tmpl w:val="C3DB84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15834"/>
    <w:rsid w:val="000D0BAA"/>
    <w:rsid w:val="000F7AB4"/>
    <w:rsid w:val="0010188A"/>
    <w:rsid w:val="001070EC"/>
    <w:rsid w:val="00145F43"/>
    <w:rsid w:val="00152774"/>
    <w:rsid w:val="00161D39"/>
    <w:rsid w:val="00170C92"/>
    <w:rsid w:val="00180D2F"/>
    <w:rsid w:val="001964EB"/>
    <w:rsid w:val="001A023C"/>
    <w:rsid w:val="001E28B5"/>
    <w:rsid w:val="00212A4A"/>
    <w:rsid w:val="00234BD5"/>
    <w:rsid w:val="00254B41"/>
    <w:rsid w:val="00294AB6"/>
    <w:rsid w:val="002E284B"/>
    <w:rsid w:val="002F77FC"/>
    <w:rsid w:val="00345096"/>
    <w:rsid w:val="00371377"/>
    <w:rsid w:val="00380F59"/>
    <w:rsid w:val="00396D44"/>
    <w:rsid w:val="003E7586"/>
    <w:rsid w:val="003F4130"/>
    <w:rsid w:val="004167F4"/>
    <w:rsid w:val="00421888"/>
    <w:rsid w:val="00454338"/>
    <w:rsid w:val="00487BC1"/>
    <w:rsid w:val="004B0F6D"/>
    <w:rsid w:val="004C2F97"/>
    <w:rsid w:val="00531BD1"/>
    <w:rsid w:val="00566C93"/>
    <w:rsid w:val="00576FFD"/>
    <w:rsid w:val="005804F4"/>
    <w:rsid w:val="005A2C3D"/>
    <w:rsid w:val="005A60A6"/>
    <w:rsid w:val="00631BCE"/>
    <w:rsid w:val="006A0BFE"/>
    <w:rsid w:val="0071652F"/>
    <w:rsid w:val="00725334"/>
    <w:rsid w:val="00745E92"/>
    <w:rsid w:val="007939DD"/>
    <w:rsid w:val="007E4B4D"/>
    <w:rsid w:val="008208B6"/>
    <w:rsid w:val="00863565"/>
    <w:rsid w:val="008B1BF1"/>
    <w:rsid w:val="008F05BC"/>
    <w:rsid w:val="00950011"/>
    <w:rsid w:val="009807C5"/>
    <w:rsid w:val="009824E1"/>
    <w:rsid w:val="0099150D"/>
    <w:rsid w:val="00996955"/>
    <w:rsid w:val="009A1665"/>
    <w:rsid w:val="009D54C7"/>
    <w:rsid w:val="009D7E7F"/>
    <w:rsid w:val="00A05967"/>
    <w:rsid w:val="00A31EB3"/>
    <w:rsid w:val="00A6299F"/>
    <w:rsid w:val="00A85A8F"/>
    <w:rsid w:val="00AD6183"/>
    <w:rsid w:val="00AD7A1F"/>
    <w:rsid w:val="00B36548"/>
    <w:rsid w:val="00B375DB"/>
    <w:rsid w:val="00B941D8"/>
    <w:rsid w:val="00BA1545"/>
    <w:rsid w:val="00BF6B0B"/>
    <w:rsid w:val="00C8289E"/>
    <w:rsid w:val="00CE5024"/>
    <w:rsid w:val="00D006C4"/>
    <w:rsid w:val="00D12F65"/>
    <w:rsid w:val="00D52B80"/>
    <w:rsid w:val="00DA24B5"/>
    <w:rsid w:val="00DA5608"/>
    <w:rsid w:val="00DD7D5A"/>
    <w:rsid w:val="00DE0B7D"/>
    <w:rsid w:val="00E334F0"/>
    <w:rsid w:val="00E530D0"/>
    <w:rsid w:val="00E630C8"/>
    <w:rsid w:val="00E81FC7"/>
    <w:rsid w:val="00E913AD"/>
    <w:rsid w:val="00EA5C54"/>
    <w:rsid w:val="00EE1E68"/>
    <w:rsid w:val="00EF0A9C"/>
    <w:rsid w:val="00EF29FD"/>
    <w:rsid w:val="00F10477"/>
    <w:rsid w:val="00F33160"/>
    <w:rsid w:val="00F436B2"/>
    <w:rsid w:val="00F54B05"/>
    <w:rsid w:val="00F56775"/>
    <w:rsid w:val="00F71A97"/>
    <w:rsid w:val="00F842B6"/>
    <w:rsid w:val="00F85562"/>
    <w:rsid w:val="00F921F7"/>
    <w:rsid w:val="00FC26E4"/>
    <w:rsid w:val="01464BF0"/>
    <w:rsid w:val="01605565"/>
    <w:rsid w:val="017D0E60"/>
    <w:rsid w:val="022C4AC3"/>
    <w:rsid w:val="023A6BC9"/>
    <w:rsid w:val="03171546"/>
    <w:rsid w:val="031C0752"/>
    <w:rsid w:val="03EA0063"/>
    <w:rsid w:val="04970BC1"/>
    <w:rsid w:val="04AD0797"/>
    <w:rsid w:val="079075EF"/>
    <w:rsid w:val="07CF6683"/>
    <w:rsid w:val="07FBDDE7"/>
    <w:rsid w:val="08CC7EF8"/>
    <w:rsid w:val="0A616717"/>
    <w:rsid w:val="0A7B58F8"/>
    <w:rsid w:val="0A993ECD"/>
    <w:rsid w:val="0AFD432E"/>
    <w:rsid w:val="0B0D5A13"/>
    <w:rsid w:val="0B6D14B7"/>
    <w:rsid w:val="0B751764"/>
    <w:rsid w:val="0BA22F78"/>
    <w:rsid w:val="0CD111DE"/>
    <w:rsid w:val="0CDB1EA2"/>
    <w:rsid w:val="0D777966"/>
    <w:rsid w:val="0DA17C0A"/>
    <w:rsid w:val="0E491814"/>
    <w:rsid w:val="0EF01F61"/>
    <w:rsid w:val="0F15100D"/>
    <w:rsid w:val="0FA859B9"/>
    <w:rsid w:val="0FAE081D"/>
    <w:rsid w:val="0FBF42EC"/>
    <w:rsid w:val="10F5402D"/>
    <w:rsid w:val="11D4312C"/>
    <w:rsid w:val="11D91F41"/>
    <w:rsid w:val="126758C9"/>
    <w:rsid w:val="138327ED"/>
    <w:rsid w:val="14367871"/>
    <w:rsid w:val="14F41FFC"/>
    <w:rsid w:val="1518002A"/>
    <w:rsid w:val="15794D99"/>
    <w:rsid w:val="16420B4B"/>
    <w:rsid w:val="16FABF4E"/>
    <w:rsid w:val="17212F26"/>
    <w:rsid w:val="178F40B2"/>
    <w:rsid w:val="17977B39"/>
    <w:rsid w:val="17B46048"/>
    <w:rsid w:val="180E7B33"/>
    <w:rsid w:val="184D3DB0"/>
    <w:rsid w:val="19531778"/>
    <w:rsid w:val="19827E91"/>
    <w:rsid w:val="19B95B36"/>
    <w:rsid w:val="19C23FA1"/>
    <w:rsid w:val="1AEB4969"/>
    <w:rsid w:val="1BD1643B"/>
    <w:rsid w:val="1BED3202"/>
    <w:rsid w:val="1D992813"/>
    <w:rsid w:val="1DBFAC75"/>
    <w:rsid w:val="1E742A13"/>
    <w:rsid w:val="1E775E2D"/>
    <w:rsid w:val="1E8563FC"/>
    <w:rsid w:val="1E860E96"/>
    <w:rsid w:val="1F3259C6"/>
    <w:rsid w:val="1FFAE524"/>
    <w:rsid w:val="206E52DB"/>
    <w:rsid w:val="20E44790"/>
    <w:rsid w:val="217E0DA2"/>
    <w:rsid w:val="21D74401"/>
    <w:rsid w:val="220D79D5"/>
    <w:rsid w:val="228D1920"/>
    <w:rsid w:val="235F1C43"/>
    <w:rsid w:val="23CA3946"/>
    <w:rsid w:val="246E51C2"/>
    <w:rsid w:val="24CD3273"/>
    <w:rsid w:val="251F2C93"/>
    <w:rsid w:val="25930AA1"/>
    <w:rsid w:val="25B77F28"/>
    <w:rsid w:val="261C2711"/>
    <w:rsid w:val="26333F5B"/>
    <w:rsid w:val="264C63DC"/>
    <w:rsid w:val="2730219E"/>
    <w:rsid w:val="27927955"/>
    <w:rsid w:val="27DF6D5B"/>
    <w:rsid w:val="27ED719E"/>
    <w:rsid w:val="28A50490"/>
    <w:rsid w:val="290416FB"/>
    <w:rsid w:val="2A8E570B"/>
    <w:rsid w:val="2B2C5C09"/>
    <w:rsid w:val="2B5A4C61"/>
    <w:rsid w:val="2B892A8E"/>
    <w:rsid w:val="2BE975ED"/>
    <w:rsid w:val="2C22481C"/>
    <w:rsid w:val="2DA85F50"/>
    <w:rsid w:val="2DE85F13"/>
    <w:rsid w:val="2E1467AD"/>
    <w:rsid w:val="2E4331CD"/>
    <w:rsid w:val="2E727497"/>
    <w:rsid w:val="2FC339E9"/>
    <w:rsid w:val="31140AC3"/>
    <w:rsid w:val="31C439B0"/>
    <w:rsid w:val="31D3618D"/>
    <w:rsid w:val="31E47D3B"/>
    <w:rsid w:val="330A7AD7"/>
    <w:rsid w:val="33119F1F"/>
    <w:rsid w:val="33517ECA"/>
    <w:rsid w:val="33937C59"/>
    <w:rsid w:val="33A52EB7"/>
    <w:rsid w:val="33CC3E98"/>
    <w:rsid w:val="34D7709C"/>
    <w:rsid w:val="34DD613F"/>
    <w:rsid w:val="3536679E"/>
    <w:rsid w:val="35E72168"/>
    <w:rsid w:val="3678062E"/>
    <w:rsid w:val="37232DB8"/>
    <w:rsid w:val="37FD68A6"/>
    <w:rsid w:val="37FDC5A6"/>
    <w:rsid w:val="393B4C3B"/>
    <w:rsid w:val="3982447C"/>
    <w:rsid w:val="39851AEA"/>
    <w:rsid w:val="399A2EB5"/>
    <w:rsid w:val="3B5E06FE"/>
    <w:rsid w:val="3BFDC5E4"/>
    <w:rsid w:val="3C0B33E8"/>
    <w:rsid w:val="3C491AF5"/>
    <w:rsid w:val="3CB16EAA"/>
    <w:rsid w:val="3CDEA38A"/>
    <w:rsid w:val="3D1B42E3"/>
    <w:rsid w:val="3D8D3BBB"/>
    <w:rsid w:val="3E053D44"/>
    <w:rsid w:val="3E6B05F3"/>
    <w:rsid w:val="3FAA75AE"/>
    <w:rsid w:val="419A35AC"/>
    <w:rsid w:val="41BA15F9"/>
    <w:rsid w:val="420A2FF8"/>
    <w:rsid w:val="42195A6A"/>
    <w:rsid w:val="423E4456"/>
    <w:rsid w:val="42A67AF8"/>
    <w:rsid w:val="4385580B"/>
    <w:rsid w:val="43AE49AE"/>
    <w:rsid w:val="44F21C4B"/>
    <w:rsid w:val="45145E37"/>
    <w:rsid w:val="45AD6951"/>
    <w:rsid w:val="463C00DC"/>
    <w:rsid w:val="47221287"/>
    <w:rsid w:val="47845592"/>
    <w:rsid w:val="485477BF"/>
    <w:rsid w:val="485D46A3"/>
    <w:rsid w:val="48B431C7"/>
    <w:rsid w:val="49D52D43"/>
    <w:rsid w:val="4A13595D"/>
    <w:rsid w:val="4AE83298"/>
    <w:rsid w:val="4B106CD2"/>
    <w:rsid w:val="4C895B69"/>
    <w:rsid w:val="4D7A256B"/>
    <w:rsid w:val="4DFC4C35"/>
    <w:rsid w:val="4EA51583"/>
    <w:rsid w:val="4F016F2E"/>
    <w:rsid w:val="4F9E2FE4"/>
    <w:rsid w:val="4FBFBB5D"/>
    <w:rsid w:val="502925FF"/>
    <w:rsid w:val="50C54397"/>
    <w:rsid w:val="50D413E4"/>
    <w:rsid w:val="517F3AB5"/>
    <w:rsid w:val="51872AF4"/>
    <w:rsid w:val="51A96376"/>
    <w:rsid w:val="51F37B94"/>
    <w:rsid w:val="51FF48CF"/>
    <w:rsid w:val="5261193E"/>
    <w:rsid w:val="52B31C66"/>
    <w:rsid w:val="53333171"/>
    <w:rsid w:val="53334AA9"/>
    <w:rsid w:val="537F0991"/>
    <w:rsid w:val="541A70D3"/>
    <w:rsid w:val="55072BCC"/>
    <w:rsid w:val="55F466BA"/>
    <w:rsid w:val="56266096"/>
    <w:rsid w:val="562D4626"/>
    <w:rsid w:val="56F00E14"/>
    <w:rsid w:val="5733590C"/>
    <w:rsid w:val="5750757E"/>
    <w:rsid w:val="581A10A7"/>
    <w:rsid w:val="58402715"/>
    <w:rsid w:val="59465D4C"/>
    <w:rsid w:val="59A10B54"/>
    <w:rsid w:val="5A9211A0"/>
    <w:rsid w:val="5B4F1F6C"/>
    <w:rsid w:val="5BF87ACE"/>
    <w:rsid w:val="5CE11D93"/>
    <w:rsid w:val="5D1A2FE5"/>
    <w:rsid w:val="5DB84FA9"/>
    <w:rsid w:val="5E0A1E6D"/>
    <w:rsid w:val="5E2A6CFE"/>
    <w:rsid w:val="5EE5A1E3"/>
    <w:rsid w:val="5F9A6485"/>
    <w:rsid w:val="5FFF4964"/>
    <w:rsid w:val="5FFFAB31"/>
    <w:rsid w:val="60180D6C"/>
    <w:rsid w:val="619F7DE0"/>
    <w:rsid w:val="61F11BB7"/>
    <w:rsid w:val="628A6975"/>
    <w:rsid w:val="62DFDF5A"/>
    <w:rsid w:val="62F9157D"/>
    <w:rsid w:val="63A519FA"/>
    <w:rsid w:val="63C42AC6"/>
    <w:rsid w:val="640654C8"/>
    <w:rsid w:val="652EDB3A"/>
    <w:rsid w:val="65CB35F1"/>
    <w:rsid w:val="67836871"/>
    <w:rsid w:val="686A0B4A"/>
    <w:rsid w:val="6875104A"/>
    <w:rsid w:val="68CD0632"/>
    <w:rsid w:val="69B503D3"/>
    <w:rsid w:val="6A134C46"/>
    <w:rsid w:val="6A68020F"/>
    <w:rsid w:val="6A733479"/>
    <w:rsid w:val="6AEF4930"/>
    <w:rsid w:val="6B197AF7"/>
    <w:rsid w:val="6B622B93"/>
    <w:rsid w:val="6BF3EDB7"/>
    <w:rsid w:val="6CBE07C5"/>
    <w:rsid w:val="6CE124F8"/>
    <w:rsid w:val="6F2605FE"/>
    <w:rsid w:val="6F2C4A70"/>
    <w:rsid w:val="6F4020DE"/>
    <w:rsid w:val="6FF3011B"/>
    <w:rsid w:val="706E47D2"/>
    <w:rsid w:val="71B60E95"/>
    <w:rsid w:val="71F065BA"/>
    <w:rsid w:val="729829D6"/>
    <w:rsid w:val="73067FA2"/>
    <w:rsid w:val="734D635D"/>
    <w:rsid w:val="735D2B55"/>
    <w:rsid w:val="735D6A13"/>
    <w:rsid w:val="73935D89"/>
    <w:rsid w:val="73C20023"/>
    <w:rsid w:val="73C90575"/>
    <w:rsid w:val="74235FBB"/>
    <w:rsid w:val="7458541A"/>
    <w:rsid w:val="7479752E"/>
    <w:rsid w:val="74B5783C"/>
    <w:rsid w:val="75C173E7"/>
    <w:rsid w:val="75CB2826"/>
    <w:rsid w:val="75F63195"/>
    <w:rsid w:val="76A77C9C"/>
    <w:rsid w:val="76D4578A"/>
    <w:rsid w:val="770574A0"/>
    <w:rsid w:val="777F409A"/>
    <w:rsid w:val="77ACA5CC"/>
    <w:rsid w:val="78241FCC"/>
    <w:rsid w:val="787E122A"/>
    <w:rsid w:val="78B56081"/>
    <w:rsid w:val="79E5F868"/>
    <w:rsid w:val="7A134250"/>
    <w:rsid w:val="7A4D29BF"/>
    <w:rsid w:val="7B4FF537"/>
    <w:rsid w:val="7C4F638F"/>
    <w:rsid w:val="7D123060"/>
    <w:rsid w:val="7DFA9B5B"/>
    <w:rsid w:val="7E6C59D9"/>
    <w:rsid w:val="7E9436AD"/>
    <w:rsid w:val="7E9E2829"/>
    <w:rsid w:val="7FD231E4"/>
    <w:rsid w:val="7FFEB4A9"/>
    <w:rsid w:val="8ADA1523"/>
    <w:rsid w:val="97FF6120"/>
    <w:rsid w:val="9FA3A381"/>
    <w:rsid w:val="B8EDB323"/>
    <w:rsid w:val="BBE7971D"/>
    <w:rsid w:val="D1E7F45D"/>
    <w:rsid w:val="D79F2CC6"/>
    <w:rsid w:val="D79F84D6"/>
    <w:rsid w:val="DE3EE7A5"/>
    <w:rsid w:val="E9FB3BD5"/>
    <w:rsid w:val="ED576D9C"/>
    <w:rsid w:val="FB6D5D3D"/>
    <w:rsid w:val="FD7FD7DF"/>
    <w:rsid w:val="FDFE8796"/>
    <w:rsid w:val="FE6FDE2D"/>
    <w:rsid w:val="FE7EF088"/>
    <w:rsid w:val="FEB9A203"/>
    <w:rsid w:val="FEFDD7FE"/>
    <w:rsid w:val="FEFE1018"/>
    <w:rsid w:val="FFFAA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lock Text"/>
    <w:basedOn w:val="1"/>
    <w:next w:val="1"/>
    <w:qFormat/>
    <w:uiPriority w:val="0"/>
    <w:pPr>
      <w:ind w:left="1440" w:leftChars="700" w:right="700" w:rightChars="7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0">
    <w:name w:val="page number"/>
    <w:basedOn w:val="9"/>
    <w:qFormat/>
    <w:uiPriority w:val="0"/>
  </w:style>
  <w:style w:type="character" w:styleId="11">
    <w:name w:val="Emphasis"/>
    <w:basedOn w:val="9"/>
    <w:qFormat/>
    <w:uiPriority w:val="0"/>
    <w:rPr>
      <w:i/>
    </w:rPr>
  </w:style>
  <w:style w:type="character" w:customStyle="1" w:styleId="12">
    <w:name w:val="页脚 Char"/>
    <w:basedOn w:val="9"/>
    <w:link w:val="5"/>
    <w:qFormat/>
    <w:uiPriority w:val="0"/>
    <w:rPr>
      <w:kern w:val="2"/>
      <w:sz w:val="18"/>
      <w:szCs w:val="18"/>
    </w:rPr>
  </w:style>
  <w:style w:type="character" w:customStyle="1" w:styleId="13">
    <w:name w:val="页眉 Char"/>
    <w:basedOn w:val="9"/>
    <w:link w:val="6"/>
    <w:qFormat/>
    <w:uiPriority w:val="0"/>
    <w:rPr>
      <w:kern w:val="2"/>
      <w:sz w:val="18"/>
      <w:szCs w:val="18"/>
    </w:rPr>
  </w:style>
  <w:style w:type="paragraph" w:customStyle="1" w:styleId="14">
    <w:name w:val="中文报告书样式"/>
    <w:basedOn w:val="1"/>
    <w:qFormat/>
    <w:uiPriority w:val="0"/>
    <w:pPr>
      <w:adjustRightInd w:val="0"/>
      <w:spacing w:line="420" w:lineRule="atLeast"/>
      <w:jc w:val="left"/>
      <w:textAlignment w:val="baseline"/>
    </w:pPr>
    <w:rPr>
      <w:kern w:val="24"/>
      <w:sz w:val="24"/>
      <w:szCs w:val="20"/>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1623</Words>
  <Characters>1730</Characters>
  <Lines>13</Lines>
  <Paragraphs>3</Paragraphs>
  <TotalTime>0</TotalTime>
  <ScaleCrop>false</ScaleCrop>
  <LinksUpToDate>false</LinksUpToDate>
  <CharactersWithSpaces>1793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2014-05-26T09:22:00Z</dcterms:created>
  <dc:creator>张明蕾</dc:creator>
  <cp:lastModifiedBy>dell</cp:lastModifiedBy>
  <cp:lastPrinted>2020-01-24T14:59:00Z</cp:lastPrinted>
  <dcterms:modified xsi:type="dcterms:W3CDTF">2025-07-25T01:38:37Z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01F97E8B9C3F40EDA69D46E49A630D90_13</vt:lpwstr>
  </property>
  <property fmtid="{D5CDD505-2E9C-101B-9397-08002B2CF9AE}" pid="4" name="KSOTemplateDocerSaveRecord">
    <vt:lpwstr>eyJoZGlkIjoiNGY5Y2I2ZmZkNzllNzc4MWVmYjg3M2ZmYjc3NjU2NDMiLCJ1c2VySWQiOiI0MDk4MTYwNjMifQ==</vt:lpwstr>
  </property>
</Properties>
</file>