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DAFBC">
      <w:pPr>
        <w:rPr>
          <w:rFonts w:ascii="仿宋_GB2312" w:eastAsia="仿宋_GB2312"/>
          <w:sz w:val="32"/>
          <w:szCs w:val="32"/>
        </w:rPr>
      </w:pPr>
    </w:p>
    <w:p w14:paraId="7AF46A2B">
      <w:pPr>
        <w:pStyle w:val="3"/>
      </w:pPr>
    </w:p>
    <w:p w14:paraId="12732150">
      <w:pPr>
        <w:rPr>
          <w:rFonts w:ascii="仿宋_GB2312" w:eastAsia="仿宋_GB2312"/>
          <w:sz w:val="32"/>
          <w:szCs w:val="32"/>
        </w:rPr>
      </w:pPr>
    </w:p>
    <w:p w14:paraId="30F5B4A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49EC6062">
      <w:pPr>
        <w:jc w:val="center"/>
        <w:rPr>
          <w:rFonts w:eastAsia="仿宋_GB2312"/>
          <w:sz w:val="32"/>
          <w:szCs w:val="32"/>
        </w:rPr>
      </w:pPr>
    </w:p>
    <w:p w14:paraId="6C2AA511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津滨审批二</w:t>
      </w:r>
      <w:r>
        <w:rPr>
          <w:rFonts w:eastAsia="仿宋_GB2312"/>
          <w:sz w:val="32"/>
          <w:szCs w:val="32"/>
          <w:highlight w:val="none"/>
        </w:rPr>
        <w:t>室准〔20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〕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193</w:t>
      </w:r>
      <w:r>
        <w:rPr>
          <w:rFonts w:eastAsia="仿宋_GB2312"/>
          <w:sz w:val="32"/>
          <w:szCs w:val="32"/>
        </w:rPr>
        <w:t>号</w:t>
      </w:r>
    </w:p>
    <w:bookmarkEnd w:id="0"/>
    <w:p w14:paraId="0FB5BA20">
      <w:pPr>
        <w:rPr>
          <w:rFonts w:ascii="仿宋_GB2312" w:eastAsia="仿宋_GB2312"/>
          <w:sz w:val="32"/>
          <w:szCs w:val="32"/>
        </w:rPr>
      </w:pPr>
    </w:p>
    <w:p w14:paraId="3946CA23">
      <w:pPr>
        <w:pStyle w:val="15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14:paraId="5B14989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于中国石化销售股份有限公司天津石油</w:t>
      </w:r>
    </w:p>
    <w:p w14:paraId="52BF268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分公司</w:t>
      </w:r>
      <w:r>
        <w:rPr>
          <w:rFonts w:hint="eastAsia" w:ascii="方正小标宋简体" w:hAnsi="宋体" w:eastAsia="方正小标宋简体"/>
          <w:color w:val="000000"/>
          <w:sz w:val="44"/>
          <w:lang w:val="en" w:eastAsia="zh-CN"/>
        </w:rPr>
        <w:t>滨海桥东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加油站改扩建项目</w:t>
      </w:r>
    </w:p>
    <w:p w14:paraId="2A5296C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环境影响报告表的</w:t>
      </w:r>
      <w:r>
        <w:rPr>
          <w:rFonts w:hint="eastAsia" w:ascii="方正小标宋简体" w:hAnsi="宋体" w:eastAsia="方正小标宋简体"/>
          <w:color w:val="000000"/>
          <w:sz w:val="44"/>
        </w:rPr>
        <w:t>批复</w:t>
      </w:r>
    </w:p>
    <w:p w14:paraId="54C81476">
      <w:pPr>
        <w:spacing w:line="0" w:lineRule="atLeast"/>
        <w:jc w:val="center"/>
        <w:rPr>
          <w:rFonts w:ascii="宋体" w:hAnsi="宋体"/>
          <w:b/>
          <w:color w:val="000000"/>
          <w:szCs w:val="21"/>
        </w:rPr>
      </w:pPr>
    </w:p>
    <w:p w14:paraId="26BBEBC0">
      <w:pPr>
        <w:pStyle w:val="15"/>
        <w:spacing w:line="600" w:lineRule="exact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中国石化销售股份有限公司天津石油分公司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 w14:paraId="1DB8A614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呈</w:t>
      </w:r>
      <w:r>
        <w:rPr>
          <w:rFonts w:hint="eastAsia" w:eastAsia="仿宋_GB2312"/>
          <w:sz w:val="32"/>
          <w:szCs w:val="32"/>
        </w:rPr>
        <w:t>报的《</w:t>
      </w:r>
      <w:r>
        <w:rPr>
          <w:rFonts w:hint="eastAsia" w:eastAsia="仿宋_GB2312"/>
          <w:sz w:val="32"/>
          <w:szCs w:val="32"/>
          <w:lang w:eastAsia="zh-CN"/>
        </w:rPr>
        <w:t>建设项目环境影响审批申请书</w:t>
      </w:r>
      <w:r>
        <w:rPr>
          <w:rFonts w:hint="eastAsia" w:eastAsia="仿宋_GB2312"/>
          <w:sz w:val="32"/>
          <w:szCs w:val="32"/>
        </w:rPr>
        <w:t>》、世纪鑫海（天津）环境科技有限公司</w:t>
      </w:r>
      <w:r>
        <w:rPr>
          <w:rFonts w:hint="eastAsia" w:eastAsia="仿宋_GB2312"/>
          <w:sz w:val="32"/>
          <w:szCs w:val="32"/>
          <w:lang w:eastAsia="zh-CN"/>
        </w:rPr>
        <w:t>编制的</w:t>
      </w:r>
      <w:r>
        <w:rPr>
          <w:rFonts w:hint="eastAsia" w:eastAsia="仿宋_GB2312"/>
          <w:sz w:val="32"/>
          <w:szCs w:val="32"/>
        </w:rPr>
        <w:t>《中国石化销售股份有限公司天津石油分公司</w:t>
      </w:r>
      <w:r>
        <w:rPr>
          <w:rFonts w:hint="eastAsia" w:eastAsia="仿宋_GB2312"/>
          <w:sz w:val="32"/>
          <w:szCs w:val="32"/>
          <w:lang w:eastAsia="zh-CN"/>
        </w:rPr>
        <w:t>滨海桥东</w:t>
      </w:r>
      <w:r>
        <w:rPr>
          <w:rFonts w:hint="eastAsia" w:eastAsia="仿宋_GB2312"/>
          <w:sz w:val="32"/>
          <w:szCs w:val="32"/>
        </w:rPr>
        <w:t>加油站改扩建项目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影响报</w:t>
      </w:r>
      <w:r>
        <w:rPr>
          <w:rFonts w:hint="eastAsia" w:eastAsia="仿宋_GB2312"/>
          <w:sz w:val="32"/>
          <w:szCs w:val="32"/>
        </w:rPr>
        <w:t>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及其附件</w:t>
      </w:r>
      <w:r>
        <w:rPr>
          <w:rFonts w:eastAsia="仿宋_GB2312"/>
          <w:sz w:val="32"/>
          <w:szCs w:val="32"/>
        </w:rPr>
        <w:t>收悉。经研究，现批复如下：</w:t>
      </w:r>
    </w:p>
    <w:p w14:paraId="24608E93">
      <w:pPr>
        <w:numPr>
          <w:ilvl w:val="0"/>
          <w:numId w:val="1"/>
        </w:num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滨海桥东加油站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位于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滨海新区塘沽新河塘黄路东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。本次改造内容包括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在现有闲置加油岛新增1台4枪汽油加油机，配套输油管线，改造油气处理装置。改造完成后，加油站有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汽油储罐、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柴油储罐，3台4枪汽油加油机，1台双枪柴油加油机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加油站汽油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销售量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为35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，柴油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销售量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吨。该项目总投资20万元，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环保投资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4.6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万元，占总投资的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1AD3CBF2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2025年6月20日至6月26日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我局将该项目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</w:t>
      </w:r>
      <w:r>
        <w:rPr>
          <w:rFonts w:eastAsia="仿宋_GB2312"/>
          <w:sz w:val="32"/>
          <w:szCs w:val="32"/>
          <w:highlight w:val="none"/>
        </w:rPr>
        <w:t>；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日至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sz w:val="32"/>
          <w:szCs w:val="32"/>
          <w:highlight w:val="none"/>
        </w:rPr>
        <w:t>日，将</w:t>
      </w:r>
      <w:r>
        <w:rPr>
          <w:rFonts w:eastAsia="仿宋_GB2312"/>
          <w:sz w:val="32"/>
          <w:szCs w:val="32"/>
        </w:rPr>
        <w:t>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公示；根据公众反馈意见情况及环评报告结论，在严格落实环评报告所提出的各项污染防治措施、确保各类污染物稳定达标的前提下，项目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14:paraId="04A35327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 w14:paraId="4248C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加强施工期的环境管理，严格落实《天津市大气污染防治条例》《天津市重污染天气应急预案》《天津市环境噪声污染防治管理办法》《天津市机动车和非道路移动机械排放污染防治条例》等相关要求，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做到合法施工，文明生产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妥善处置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含油沾染废物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固体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废弃物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；合理安排施工时间和施工区域，加强对高噪声机械的管理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 w14:paraId="1C65D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2.运营期间，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卸油产生的废气通过卸油油气回收系统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收集后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返回至油罐车内；加油过程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产生的废气经加油油气回收系统收集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后返回汽油储罐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；安装与轻型汽车ORVR系统兼容的油气处理装置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，汽油储罐呼吸产生的气体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油气处理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装置，处理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达标的废气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高排气筒排放。</w:t>
      </w:r>
    </w:p>
    <w:p w14:paraId="59D1EC8C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密闭性好的设备，减少</w:t>
      </w:r>
      <w:r>
        <w:rPr>
          <w:rFonts w:hint="eastAsia" w:eastAsia="仿宋_GB2312"/>
          <w:sz w:val="32"/>
          <w:szCs w:val="32"/>
        </w:rPr>
        <w:t>废气</w:t>
      </w:r>
      <w:r>
        <w:rPr>
          <w:rFonts w:eastAsia="仿宋_GB2312"/>
          <w:sz w:val="32"/>
          <w:szCs w:val="32"/>
        </w:rPr>
        <w:t>的无组织排放</w:t>
      </w:r>
      <w:r>
        <w:rPr>
          <w:rFonts w:hint="eastAsia" w:eastAsia="仿宋_GB2312"/>
          <w:sz w:val="32"/>
          <w:szCs w:val="32"/>
        </w:rPr>
        <w:t>，确保废气无组织排放浓度满足厂界限值要求。</w:t>
      </w:r>
    </w:p>
    <w:p w14:paraId="62016CE4">
      <w:pPr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3.生活污水经化粪池后，通过市政管网达标排至天津滨海新区北塘污水处理厂处理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 w14:paraId="07917739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.站区应合理布局，选用低噪声设备，保证厂界噪声达标。</w:t>
      </w:r>
    </w:p>
    <w:p w14:paraId="089FB734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做好各类固体废物的收集、贮存、运输和处置，做到资源化、减量化、无害化。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废干燥剂、废防水滤芯、废活性炭等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危险废物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须交由有相应资质的单位进行处理、处置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。 </w:t>
      </w:r>
    </w:p>
    <w:p w14:paraId="6FBB46ED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危险废物暂存</w:t>
      </w:r>
      <w:r>
        <w:rPr>
          <w:rFonts w:hint="eastAsia" w:eastAsia="仿宋_GB2312" w:cs="Times New Roman"/>
          <w:sz w:val="32"/>
          <w:szCs w:val="32"/>
          <w:lang w:eastAsia="zh-CN"/>
        </w:rPr>
        <w:t>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eastAsia="仿宋_GB2312" w:cs="Times New Roman"/>
          <w:sz w:val="32"/>
          <w:szCs w:val="32"/>
          <w:lang w:eastAsia="zh-CN"/>
        </w:rPr>
        <w:t>按照相关规定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hint="eastAsia" w:eastAsia="仿宋_GB2312" w:cs="Times New Roman"/>
          <w:sz w:val="32"/>
          <w:szCs w:val="32"/>
          <w:lang w:eastAsia="zh-CN"/>
        </w:rPr>
        <w:t>完善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和管理</w:t>
      </w:r>
      <w:r>
        <w:rPr>
          <w:rFonts w:hint="eastAsia" w:eastAsia="仿宋_GB2312" w:cs="Times New Roman"/>
          <w:sz w:val="32"/>
          <w:szCs w:val="32"/>
          <w:lang w:eastAsia="zh-CN"/>
        </w:rPr>
        <w:t>，并</w:t>
      </w:r>
      <w:r>
        <w:rPr>
          <w:rFonts w:hint="default" w:eastAsia="仿宋_GB2312"/>
          <w:bCs/>
          <w:sz w:val="32"/>
          <w:szCs w:val="32"/>
          <w:lang w:eastAsia="zh-CN"/>
        </w:rPr>
        <w:t>严格按照《危险废物规范化环境管理评估指标》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做好危险废物规范化管理工作。</w:t>
      </w:r>
    </w:p>
    <w:p w14:paraId="6211771A">
      <w:pPr>
        <w:numPr>
          <w:ilvl w:val="0"/>
          <w:numId w:val="0"/>
        </w:numPr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6.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加强管理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采取严格的防渗、防泄漏、防腐蚀等措施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做好地下水污染和土壤污染的防控工作：完善分区防渗，合理设置地下水监测井。</w:t>
      </w:r>
    </w:p>
    <w:p w14:paraId="3F7430E9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留</w:t>
      </w:r>
      <w:r>
        <w:rPr>
          <w:rFonts w:hint="eastAsia" w:eastAsia="仿宋_GB2312" w:cs="Times New Roman"/>
          <w:sz w:val="32"/>
          <w:szCs w:val="32"/>
          <w:lang w:eastAsia="zh-CN"/>
        </w:rPr>
        <w:t>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隐蔽工程施工期间的影像资料，作为项目竣工环境保护验收的凭证。</w:t>
      </w:r>
    </w:p>
    <w:p w14:paraId="550A1539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落实报告表提出的环境监测计划，定期开展监测工作。</w:t>
      </w:r>
    </w:p>
    <w:p w14:paraId="20E5CDF9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hint="eastAsia" w:eastAsia="仿宋_GB2312"/>
          <w:sz w:val="32"/>
          <w:szCs w:val="32"/>
        </w:rPr>
        <w:t>强化各项环境风险防范措施，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突发环境风险应急预案并向区生态环境局报备</w:t>
      </w:r>
      <w:r>
        <w:rPr>
          <w:rFonts w:hint="eastAsia" w:eastAsia="仿宋_GB2312" w:cs="Times New Roman"/>
          <w:color w:val="auto"/>
          <w:kern w:val="44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定期开展突发环境事件应急演练，有效防范和应对环境风险，杜绝环境污染事故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44D6556C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、根据环评报告核算，</w:t>
      </w:r>
      <w:r>
        <w:rPr>
          <w:rFonts w:hint="eastAsia" w:eastAsia="仿宋_GB2312" w:cs="Times New Roman"/>
          <w:color w:val="auto"/>
          <w:kern w:val="44"/>
          <w:sz w:val="32"/>
          <w:szCs w:val="32"/>
          <w:lang w:val="en-US" w:eastAsia="zh-CN" w:bidi="ar-SA"/>
        </w:rPr>
        <w:t>该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项目建成后新增重点污染物排放总量最高限值为：化学需氧量</w:t>
      </w:r>
      <w:r>
        <w:rPr>
          <w:rFonts w:hint="eastAsia" w:eastAsia="仿宋_GB2312" w:cs="Times New Roman"/>
          <w:color w:val="auto"/>
          <w:kern w:val="44"/>
          <w:sz w:val="32"/>
          <w:szCs w:val="32"/>
          <w:lang w:val="en-US" w:eastAsia="zh-CN" w:bidi="ar-SA"/>
        </w:rPr>
        <w:t>0.0788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吨/年、氨氮</w:t>
      </w:r>
      <w:r>
        <w:rPr>
          <w:rFonts w:hint="eastAsia" w:eastAsia="仿宋_GB2312" w:cs="Times New Roman"/>
          <w:color w:val="auto"/>
          <w:kern w:val="44"/>
          <w:sz w:val="32"/>
          <w:szCs w:val="32"/>
          <w:lang w:val="en-US" w:eastAsia="zh-CN" w:bidi="ar-SA"/>
        </w:rPr>
        <w:t>0.0069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吨/年。</w:t>
      </w:r>
    </w:p>
    <w:p w14:paraId="1192FFF9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项目竣工后</w:t>
      </w:r>
      <w:r>
        <w:rPr>
          <w:rFonts w:hint="eastAsia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使用；在该项目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你公司应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 w14:paraId="25360D9C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五、项目应执行以下</w:t>
      </w:r>
      <w:r>
        <w:rPr>
          <w:rFonts w:hint="eastAsia" w:eastAsia="仿宋_GB2312"/>
          <w:sz w:val="32"/>
          <w:szCs w:val="32"/>
          <w:lang w:eastAsia="zh-CN"/>
        </w:rPr>
        <w:t>污染物排放</w:t>
      </w:r>
      <w:r>
        <w:rPr>
          <w:rFonts w:hint="eastAsia" w:eastAsia="仿宋_GB2312"/>
          <w:sz w:val="32"/>
          <w:szCs w:val="32"/>
        </w:rPr>
        <w:t>标准：</w:t>
      </w:r>
    </w:p>
    <w:p w14:paraId="6052159D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《加油站大气污染物排放标准》（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DB12/1302-2024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）；</w:t>
      </w:r>
    </w:p>
    <w:p w14:paraId="4D84EAEB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《工业企业厂界环境噪声排放标准》（GB12348-2008）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2类、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4类；</w:t>
      </w:r>
    </w:p>
    <w:p w14:paraId="67BD082A">
      <w:pPr>
        <w:spacing w:line="600" w:lineRule="exact"/>
        <w:ind w:firstLine="640" w:firstLineChars="200"/>
        <w:textAlignment w:val="baseline"/>
        <w:rPr>
          <w:rFonts w:hint="eastAsia" w:eastAsia="宋体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.《污水综合排放标准》（DB12/356-2018）三级；</w:t>
      </w:r>
    </w:p>
    <w:p w14:paraId="6AE66ADC">
      <w:pPr>
        <w:spacing w:line="60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《危险废物贮存污染控制标准》（GB18597-2023）；</w:t>
      </w:r>
    </w:p>
    <w:p w14:paraId="5BBB558D">
      <w:pPr>
        <w:spacing w:line="600" w:lineRule="exact"/>
        <w:ind w:firstLine="63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《危险废物收集 贮存 运输技术规范》（HJ2025-2012）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59A94473">
      <w:pPr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此复。</w:t>
      </w:r>
    </w:p>
    <w:p w14:paraId="4C7E3B9A">
      <w:pPr>
        <w:pStyle w:val="3"/>
        <w:rPr>
          <w:rFonts w:hint="eastAsia" w:eastAsia="仿宋_GB2312"/>
          <w:color w:val="auto"/>
          <w:sz w:val="32"/>
          <w:szCs w:val="32"/>
        </w:rPr>
      </w:pPr>
    </w:p>
    <w:p w14:paraId="6975426F">
      <w:pPr>
        <w:rPr>
          <w:rFonts w:hint="eastAsia" w:eastAsia="仿宋_GB2312"/>
          <w:color w:val="auto"/>
          <w:sz w:val="32"/>
          <w:szCs w:val="32"/>
        </w:rPr>
      </w:pPr>
    </w:p>
    <w:p w14:paraId="610B532B">
      <w:pPr>
        <w:pStyle w:val="3"/>
        <w:rPr>
          <w:rFonts w:hint="eastAsia" w:eastAsia="仿宋_GB2312"/>
          <w:color w:val="auto"/>
          <w:sz w:val="32"/>
          <w:szCs w:val="32"/>
        </w:rPr>
      </w:pPr>
    </w:p>
    <w:p w14:paraId="3BAD4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75" w:rightChars="750" w:firstLine="629"/>
        <w:jc w:val="right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滨海新区行政审批局</w:t>
      </w:r>
    </w:p>
    <w:p w14:paraId="1A4EB0D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680" w:rightChars="800"/>
        <w:jc w:val="right"/>
        <w:textAlignment w:val="auto"/>
        <w:rPr>
          <w:rFonts w:hint="eastAsia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</w:p>
    <w:p w14:paraId="49E08F1F">
      <w:pPr>
        <w:pStyle w:val="2"/>
      </w:pPr>
    </w:p>
    <w:p w14:paraId="68CAD366"/>
    <w:p w14:paraId="150B6FC3">
      <w:pPr>
        <w:pStyle w:val="2"/>
      </w:pPr>
    </w:p>
    <w:p w14:paraId="729D7A93"/>
    <w:p w14:paraId="5A33B8EA">
      <w:pPr>
        <w:pStyle w:val="2"/>
      </w:pPr>
    </w:p>
    <w:p w14:paraId="36828B7A"/>
    <w:p w14:paraId="7097C5A7">
      <w:pPr>
        <w:pStyle w:val="2"/>
      </w:pPr>
    </w:p>
    <w:p w14:paraId="0E625415"/>
    <w:p w14:paraId="27BAD47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52662C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5DA523B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7D30C3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12BD1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138F4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348E3DAC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 xml:space="preserve">     （共印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Style w:val="9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40C5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 w14:paraId="67960DF4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 w14:paraId="0BE49F00">
      <w:pPr>
        <w:rPr>
          <w:rFonts w:ascii="仿宋_GB2312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</w:rPr>
        <w:t xml:space="preserve">天津市滨海新区行政审批局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sz w:val="28"/>
          <w:szCs w:val="28"/>
          <w:highlight w:val="none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>20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28"/>
          <w:szCs w:val="28"/>
          <w:highlight w:val="none"/>
        </w:rPr>
        <w:t>日</w:t>
      </w:r>
      <w:r>
        <w:rPr>
          <w:rFonts w:eastAsia="仿宋_GB2312"/>
          <w:sz w:val="28"/>
          <w:szCs w:val="28"/>
          <w:highlight w:val="none"/>
        </w:rPr>
        <w:t>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56098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B4156">
                          <w:pPr>
                            <w:pStyle w:val="6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B4156">
                    <w:pPr>
                      <w:pStyle w:val="6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C68D1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4754C84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2C5A8"/>
    <w:multiLevelType w:val="singleLevel"/>
    <w:tmpl w:val="2232C5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2IxYWRjN2EzMDcyYTNjZmRhN2U4ZWRiYWRmNGEifQ=="/>
  </w:docVars>
  <w:rsids>
    <w:rsidRoot w:val="00745E92"/>
    <w:rsid w:val="000052E2"/>
    <w:rsid w:val="000B16BA"/>
    <w:rsid w:val="000D0BAA"/>
    <w:rsid w:val="000F7AB4"/>
    <w:rsid w:val="0010188A"/>
    <w:rsid w:val="001070EC"/>
    <w:rsid w:val="00145F43"/>
    <w:rsid w:val="00152774"/>
    <w:rsid w:val="00170C92"/>
    <w:rsid w:val="00180D2F"/>
    <w:rsid w:val="001964EB"/>
    <w:rsid w:val="001A023C"/>
    <w:rsid w:val="001E28B5"/>
    <w:rsid w:val="00212A4A"/>
    <w:rsid w:val="00234BD5"/>
    <w:rsid w:val="00254B41"/>
    <w:rsid w:val="00294AB6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576FFD"/>
    <w:rsid w:val="005804F4"/>
    <w:rsid w:val="005A2C3D"/>
    <w:rsid w:val="005A60A6"/>
    <w:rsid w:val="00631BCE"/>
    <w:rsid w:val="006A0BFE"/>
    <w:rsid w:val="0071652F"/>
    <w:rsid w:val="00725334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24B5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85562"/>
    <w:rsid w:val="00F921F7"/>
    <w:rsid w:val="00FC26E4"/>
    <w:rsid w:val="01464BF0"/>
    <w:rsid w:val="01605565"/>
    <w:rsid w:val="017D0E60"/>
    <w:rsid w:val="022C4AC3"/>
    <w:rsid w:val="023A6BC9"/>
    <w:rsid w:val="03171546"/>
    <w:rsid w:val="031C0752"/>
    <w:rsid w:val="03EA0063"/>
    <w:rsid w:val="04970BC1"/>
    <w:rsid w:val="04AD0797"/>
    <w:rsid w:val="04FC3DCA"/>
    <w:rsid w:val="079075EF"/>
    <w:rsid w:val="07CF6683"/>
    <w:rsid w:val="07FBDDE7"/>
    <w:rsid w:val="08CC7EF8"/>
    <w:rsid w:val="0A395C0C"/>
    <w:rsid w:val="0A616717"/>
    <w:rsid w:val="0A7B58F8"/>
    <w:rsid w:val="0A993ECD"/>
    <w:rsid w:val="0AFD432E"/>
    <w:rsid w:val="0B0D5A13"/>
    <w:rsid w:val="0B6D14B7"/>
    <w:rsid w:val="0B751764"/>
    <w:rsid w:val="0BA22F78"/>
    <w:rsid w:val="0CD111DE"/>
    <w:rsid w:val="0D777966"/>
    <w:rsid w:val="0DA17C0A"/>
    <w:rsid w:val="0E491814"/>
    <w:rsid w:val="0EF01F61"/>
    <w:rsid w:val="0F15100D"/>
    <w:rsid w:val="0FA859B9"/>
    <w:rsid w:val="0FAE081D"/>
    <w:rsid w:val="0FBF42EC"/>
    <w:rsid w:val="10F5402D"/>
    <w:rsid w:val="11D4312C"/>
    <w:rsid w:val="11D91F41"/>
    <w:rsid w:val="126758C9"/>
    <w:rsid w:val="138327ED"/>
    <w:rsid w:val="14367871"/>
    <w:rsid w:val="14F41FFC"/>
    <w:rsid w:val="1518002A"/>
    <w:rsid w:val="15794D99"/>
    <w:rsid w:val="16420B4B"/>
    <w:rsid w:val="16FABF4E"/>
    <w:rsid w:val="17977B39"/>
    <w:rsid w:val="17B46048"/>
    <w:rsid w:val="180E7B33"/>
    <w:rsid w:val="184D3DB0"/>
    <w:rsid w:val="19531778"/>
    <w:rsid w:val="19827E91"/>
    <w:rsid w:val="19B95B36"/>
    <w:rsid w:val="19C23FA1"/>
    <w:rsid w:val="19C26650"/>
    <w:rsid w:val="1BD1643B"/>
    <w:rsid w:val="1BED3202"/>
    <w:rsid w:val="1D992813"/>
    <w:rsid w:val="1DBFAC75"/>
    <w:rsid w:val="1E742A13"/>
    <w:rsid w:val="1E775E2D"/>
    <w:rsid w:val="1E8563FC"/>
    <w:rsid w:val="1E860E96"/>
    <w:rsid w:val="1F3259C6"/>
    <w:rsid w:val="1FFAE524"/>
    <w:rsid w:val="206E52DB"/>
    <w:rsid w:val="20E44790"/>
    <w:rsid w:val="217E0DA2"/>
    <w:rsid w:val="21D74401"/>
    <w:rsid w:val="220D79D5"/>
    <w:rsid w:val="228D1920"/>
    <w:rsid w:val="235F1C43"/>
    <w:rsid w:val="23CA3946"/>
    <w:rsid w:val="246E51C2"/>
    <w:rsid w:val="24CD3273"/>
    <w:rsid w:val="251F2C93"/>
    <w:rsid w:val="25930AA1"/>
    <w:rsid w:val="25B77F28"/>
    <w:rsid w:val="261C2711"/>
    <w:rsid w:val="26333F5B"/>
    <w:rsid w:val="264C63DC"/>
    <w:rsid w:val="2730219E"/>
    <w:rsid w:val="27927955"/>
    <w:rsid w:val="27DF6D5B"/>
    <w:rsid w:val="27ED719E"/>
    <w:rsid w:val="28A50490"/>
    <w:rsid w:val="290416FB"/>
    <w:rsid w:val="2A8E570B"/>
    <w:rsid w:val="2B2C5C09"/>
    <w:rsid w:val="2B5A4C61"/>
    <w:rsid w:val="2B892A8E"/>
    <w:rsid w:val="2BE975ED"/>
    <w:rsid w:val="2C22481C"/>
    <w:rsid w:val="2DA85F50"/>
    <w:rsid w:val="2DE85F13"/>
    <w:rsid w:val="2E1467AD"/>
    <w:rsid w:val="2E727497"/>
    <w:rsid w:val="2FC339E9"/>
    <w:rsid w:val="31140AC3"/>
    <w:rsid w:val="31C439B0"/>
    <w:rsid w:val="31D3618D"/>
    <w:rsid w:val="31E47D3B"/>
    <w:rsid w:val="330A7AD7"/>
    <w:rsid w:val="33119F1F"/>
    <w:rsid w:val="33517ECA"/>
    <w:rsid w:val="33937C59"/>
    <w:rsid w:val="33A52EB7"/>
    <w:rsid w:val="33CC3E98"/>
    <w:rsid w:val="34D7709C"/>
    <w:rsid w:val="34DD613F"/>
    <w:rsid w:val="3536679E"/>
    <w:rsid w:val="35E72168"/>
    <w:rsid w:val="3678062E"/>
    <w:rsid w:val="37232DB8"/>
    <w:rsid w:val="37FD68A6"/>
    <w:rsid w:val="37FDC5A6"/>
    <w:rsid w:val="393B4C3B"/>
    <w:rsid w:val="3982447C"/>
    <w:rsid w:val="39851AEA"/>
    <w:rsid w:val="399A2EB5"/>
    <w:rsid w:val="3B5E06FE"/>
    <w:rsid w:val="3BFDC5E4"/>
    <w:rsid w:val="3C0B33E8"/>
    <w:rsid w:val="3C491AF5"/>
    <w:rsid w:val="3CB16EAA"/>
    <w:rsid w:val="3CDEA38A"/>
    <w:rsid w:val="3D1B42E3"/>
    <w:rsid w:val="3D8D3BBB"/>
    <w:rsid w:val="3E053D44"/>
    <w:rsid w:val="3E6B05F3"/>
    <w:rsid w:val="3FAA75AE"/>
    <w:rsid w:val="419A35AC"/>
    <w:rsid w:val="41BA15F9"/>
    <w:rsid w:val="420A2FF8"/>
    <w:rsid w:val="42195A6A"/>
    <w:rsid w:val="423B6773"/>
    <w:rsid w:val="423E4456"/>
    <w:rsid w:val="42A67AF8"/>
    <w:rsid w:val="4385580B"/>
    <w:rsid w:val="43AE49AE"/>
    <w:rsid w:val="44F21C4B"/>
    <w:rsid w:val="45145E37"/>
    <w:rsid w:val="45AD6951"/>
    <w:rsid w:val="463C00DC"/>
    <w:rsid w:val="469E275D"/>
    <w:rsid w:val="47221287"/>
    <w:rsid w:val="47845592"/>
    <w:rsid w:val="485477BF"/>
    <w:rsid w:val="485D46A3"/>
    <w:rsid w:val="48B431C7"/>
    <w:rsid w:val="49D52D43"/>
    <w:rsid w:val="4A13595D"/>
    <w:rsid w:val="4AE83298"/>
    <w:rsid w:val="4B106CD2"/>
    <w:rsid w:val="4BBC27FE"/>
    <w:rsid w:val="4C895B69"/>
    <w:rsid w:val="4D7A256B"/>
    <w:rsid w:val="4DFC4C35"/>
    <w:rsid w:val="4EA51583"/>
    <w:rsid w:val="4F016F2E"/>
    <w:rsid w:val="4F9E2FE4"/>
    <w:rsid w:val="4FBFBB5D"/>
    <w:rsid w:val="502925FF"/>
    <w:rsid w:val="50BD7860"/>
    <w:rsid w:val="50C54397"/>
    <w:rsid w:val="50D413E4"/>
    <w:rsid w:val="517F3AB5"/>
    <w:rsid w:val="51872AF4"/>
    <w:rsid w:val="51A96376"/>
    <w:rsid w:val="51F37B94"/>
    <w:rsid w:val="51FF48CF"/>
    <w:rsid w:val="5261193E"/>
    <w:rsid w:val="52B31C66"/>
    <w:rsid w:val="53333171"/>
    <w:rsid w:val="53334AA9"/>
    <w:rsid w:val="537F0991"/>
    <w:rsid w:val="541A70D3"/>
    <w:rsid w:val="55072BCC"/>
    <w:rsid w:val="55F466BA"/>
    <w:rsid w:val="56266096"/>
    <w:rsid w:val="562D4626"/>
    <w:rsid w:val="56F00E14"/>
    <w:rsid w:val="5733590C"/>
    <w:rsid w:val="5750757E"/>
    <w:rsid w:val="581A10A7"/>
    <w:rsid w:val="58402715"/>
    <w:rsid w:val="59465D4C"/>
    <w:rsid w:val="59A10B54"/>
    <w:rsid w:val="5A9211A0"/>
    <w:rsid w:val="5B4F1F6C"/>
    <w:rsid w:val="5BF333AB"/>
    <w:rsid w:val="5BF87ACE"/>
    <w:rsid w:val="5CE11D93"/>
    <w:rsid w:val="5D1A2FE5"/>
    <w:rsid w:val="5DB84FA9"/>
    <w:rsid w:val="5E0A1E6D"/>
    <w:rsid w:val="5E2A6CFE"/>
    <w:rsid w:val="5EE5A1E3"/>
    <w:rsid w:val="5F9A6485"/>
    <w:rsid w:val="5FFF4964"/>
    <w:rsid w:val="5FFFAB31"/>
    <w:rsid w:val="60112B74"/>
    <w:rsid w:val="60180D6C"/>
    <w:rsid w:val="619F7DE0"/>
    <w:rsid w:val="61F11BB7"/>
    <w:rsid w:val="628A6975"/>
    <w:rsid w:val="62DFDF5A"/>
    <w:rsid w:val="62F9157D"/>
    <w:rsid w:val="63A519FA"/>
    <w:rsid w:val="63C42AC6"/>
    <w:rsid w:val="640654C8"/>
    <w:rsid w:val="652EDB3A"/>
    <w:rsid w:val="65CB35F1"/>
    <w:rsid w:val="67836871"/>
    <w:rsid w:val="686A0B4A"/>
    <w:rsid w:val="6875104A"/>
    <w:rsid w:val="68CD0632"/>
    <w:rsid w:val="69B503D3"/>
    <w:rsid w:val="6A68020F"/>
    <w:rsid w:val="6AEF4930"/>
    <w:rsid w:val="6B622B93"/>
    <w:rsid w:val="6BF3EDB7"/>
    <w:rsid w:val="6CBE07C5"/>
    <w:rsid w:val="6CE124F8"/>
    <w:rsid w:val="6F2605FE"/>
    <w:rsid w:val="6F2C4A70"/>
    <w:rsid w:val="6F4020DE"/>
    <w:rsid w:val="6FF3011B"/>
    <w:rsid w:val="6FFF6771"/>
    <w:rsid w:val="705B5812"/>
    <w:rsid w:val="706E47D2"/>
    <w:rsid w:val="71B60E95"/>
    <w:rsid w:val="71F065BA"/>
    <w:rsid w:val="729829D6"/>
    <w:rsid w:val="73067FA2"/>
    <w:rsid w:val="734D635D"/>
    <w:rsid w:val="735156E8"/>
    <w:rsid w:val="735D2B55"/>
    <w:rsid w:val="735D6A13"/>
    <w:rsid w:val="73935D89"/>
    <w:rsid w:val="73C20023"/>
    <w:rsid w:val="73C90575"/>
    <w:rsid w:val="74235FBB"/>
    <w:rsid w:val="7458541A"/>
    <w:rsid w:val="7479752E"/>
    <w:rsid w:val="75C173E7"/>
    <w:rsid w:val="75CB2826"/>
    <w:rsid w:val="75F63195"/>
    <w:rsid w:val="76A77C9C"/>
    <w:rsid w:val="76D4578A"/>
    <w:rsid w:val="770574A0"/>
    <w:rsid w:val="777F409A"/>
    <w:rsid w:val="77ACA5CC"/>
    <w:rsid w:val="78241FCC"/>
    <w:rsid w:val="787E122A"/>
    <w:rsid w:val="78B56081"/>
    <w:rsid w:val="79E5F868"/>
    <w:rsid w:val="7A134250"/>
    <w:rsid w:val="7A4D29BF"/>
    <w:rsid w:val="7C4F638F"/>
    <w:rsid w:val="7D123060"/>
    <w:rsid w:val="7DFA9B5B"/>
    <w:rsid w:val="7E6C59D9"/>
    <w:rsid w:val="7E9436AD"/>
    <w:rsid w:val="7E9E2829"/>
    <w:rsid w:val="7FD231E4"/>
    <w:rsid w:val="7FFEB4A9"/>
    <w:rsid w:val="8ADA1523"/>
    <w:rsid w:val="97FF6120"/>
    <w:rsid w:val="9FA3A381"/>
    <w:rsid w:val="B73ED048"/>
    <w:rsid w:val="B8EDB323"/>
    <w:rsid w:val="BBE7971D"/>
    <w:rsid w:val="BC7FEF1D"/>
    <w:rsid w:val="D1E7F45D"/>
    <w:rsid w:val="D79F2CC6"/>
    <w:rsid w:val="D79F84D6"/>
    <w:rsid w:val="DE3EE7A5"/>
    <w:rsid w:val="E9FB3BD5"/>
    <w:rsid w:val="ED576D9C"/>
    <w:rsid w:val="FB6D5D3D"/>
    <w:rsid w:val="FD7FD7DF"/>
    <w:rsid w:val="FDFE8796"/>
    <w:rsid w:val="FE6FDE2D"/>
    <w:rsid w:val="FE7EF088"/>
    <w:rsid w:val="FEB9A203"/>
    <w:rsid w:val="FEFDD7FE"/>
    <w:rsid w:val="FEFE1018"/>
    <w:rsid w:val="FFFA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ind w:left="1440" w:leftChars="700" w:right="700" w:rightChars="70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5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1680</Words>
  <Characters>1815</Characters>
  <Lines>12</Lines>
  <Paragraphs>3</Paragraphs>
  <TotalTime>1</TotalTime>
  <ScaleCrop>false</ScaleCrop>
  <LinksUpToDate>false</LinksUpToDate>
  <CharactersWithSpaces>1877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2014-05-26T09:22:00Z</dcterms:created>
  <dc:creator>张明蕾</dc:creator>
  <cp:lastModifiedBy>dell</cp:lastModifiedBy>
  <cp:lastPrinted>2020-01-24T14:59:00Z</cp:lastPrinted>
  <dcterms:modified xsi:type="dcterms:W3CDTF">2025-07-25T01:38:27Z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B5E4310D4747414389F55F1C36031F16_13</vt:lpwstr>
  </property>
  <property fmtid="{D5CDD505-2E9C-101B-9397-08002B2CF9AE}" pid="4" name="KSOTemplateDocerSaveRecord">
    <vt:lpwstr>eyJoZGlkIjoiNGY5Y2I2ZmZkNzllNzc4MWVmYjg3M2ZmYjc3NjU2NDMiLCJ1c2VySWQiOiI0MDk4MTYwNjMifQ==</vt:lpwstr>
  </property>
</Properties>
</file>