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08A9" w:rsidRDefault="002D40D8" w:rsidP="002D40D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区政务服务办关于印发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滨海新区优化营商</w:t>
      </w:r>
    </w:p>
    <w:p w:rsidR="00DF08A9" w:rsidRDefault="002D40D8" w:rsidP="002D40D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环境工作联席会议制度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DF08A9" w:rsidRDefault="00DF08A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F08A9" w:rsidRDefault="002D40D8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滨海新区优化营商环境工作联席会议成员单位：</w:t>
      </w:r>
    </w:p>
    <w:p w:rsidR="00DF08A9" w:rsidRDefault="002D40D8">
      <w:pPr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经区领导同意，现将《滨海新区优化营商环境工作联席会议制度》印发给你们，请遵照执行。</w:t>
      </w:r>
    </w:p>
    <w:p w:rsidR="00DF08A9" w:rsidRDefault="00DF08A9">
      <w:pPr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2D40D8">
      <w:pPr>
        <w:wordWrap w:val="0"/>
        <w:adjustRightInd w:val="0"/>
        <w:snapToGrid w:val="0"/>
        <w:spacing w:line="600" w:lineRule="exact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区政务服务办</w:t>
      </w:r>
    </w:p>
    <w:p w:rsidR="00DF08A9" w:rsidRDefault="002D40D8">
      <w:pPr>
        <w:wordWrap w:val="0"/>
        <w:adjustRightInd w:val="0"/>
        <w:snapToGrid w:val="0"/>
        <w:spacing w:line="600" w:lineRule="exact"/>
        <w:ind w:rightChars="800" w:right="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30</w:t>
      </w:r>
      <w:r>
        <w:rPr>
          <w:rFonts w:eastAsia="仿宋_GB2312"/>
          <w:sz w:val="32"/>
          <w:szCs w:val="32"/>
        </w:rPr>
        <w:t>日</w:t>
      </w:r>
    </w:p>
    <w:p w:rsidR="00DF08A9" w:rsidRDefault="002D40D8">
      <w:pPr>
        <w:adjustRightInd w:val="0"/>
        <w:snapToGrid w:val="0"/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（联系人：曾令艳；联系电话：</w:t>
      </w:r>
      <w:r>
        <w:rPr>
          <w:rFonts w:eastAsia="仿宋_GB2312"/>
          <w:sz w:val="32"/>
          <w:szCs w:val="32"/>
        </w:rPr>
        <w:t>66897710</w:t>
      </w:r>
      <w:r>
        <w:rPr>
          <w:rFonts w:eastAsia="仿宋_GB2312"/>
          <w:sz w:val="32"/>
          <w:szCs w:val="32"/>
        </w:rPr>
        <w:t>）</w:t>
      </w:r>
    </w:p>
    <w:p w:rsidR="00DF08A9" w:rsidRDefault="002D40D8">
      <w:pPr>
        <w:adjustRightInd w:val="0"/>
        <w:snapToGrid w:val="0"/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DF08A9" w:rsidRDefault="002D40D8">
      <w:pPr>
        <w:jc w:val="left"/>
        <w:rPr>
          <w:rFonts w:eastAsia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  <w:lang/>
        </w:rPr>
        <w:lastRenderedPageBreak/>
        <w:br w:type="page"/>
      </w:r>
    </w:p>
    <w:p w:rsidR="00DF08A9" w:rsidRDefault="002D40D8">
      <w:pPr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  <w:lang/>
        </w:rPr>
        <w:lastRenderedPageBreak/>
        <w:t>滨海新区</w:t>
      </w:r>
      <w:r>
        <w:rPr>
          <w:rFonts w:eastAsia="方正小标宋简体" w:cs="方正小标宋简体"/>
          <w:color w:val="000000"/>
          <w:kern w:val="0"/>
          <w:sz w:val="44"/>
          <w:szCs w:val="44"/>
          <w:lang/>
        </w:rPr>
        <w:t>优化营商环境工作联席会议</w:t>
      </w:r>
      <w:r>
        <w:rPr>
          <w:rFonts w:eastAsia="方正小标宋简体" w:cs="方正小标宋简体" w:hint="eastAsia"/>
          <w:color w:val="000000"/>
          <w:kern w:val="0"/>
          <w:sz w:val="44"/>
          <w:szCs w:val="44"/>
          <w:lang/>
        </w:rPr>
        <w:t>制度</w:t>
      </w:r>
    </w:p>
    <w:p w:rsidR="00DF08A9" w:rsidRDefault="00DF08A9">
      <w:pPr>
        <w:pStyle w:val="HTML"/>
        <w:widowControl/>
        <w:ind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</w:p>
    <w:p w:rsidR="00DF08A9" w:rsidRDefault="002D40D8">
      <w:pPr>
        <w:pStyle w:val="HTML"/>
        <w:widowControl/>
        <w:ind w:firstLineChars="200"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为认真贯彻习近平总书记关于优化营商环境的重要论述，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落实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《优化营商环境条例》《天津市优化营商环境条例》相关要求，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切实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加强对营商环境工作的组织领导，推进营商环境协同优化，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加快打造一流营商环境，为新区高质量发展提供有力支撑，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特制定本制度。</w:t>
      </w:r>
    </w:p>
    <w:p w:rsidR="00DF08A9" w:rsidRDefault="002D40D8">
      <w:pPr>
        <w:pStyle w:val="HTML"/>
        <w:widowControl/>
        <w:numPr>
          <w:ilvl w:val="0"/>
          <w:numId w:val="1"/>
        </w:numPr>
        <w:ind w:firstLineChars="200" w:firstLine="640"/>
        <w:jc w:val="both"/>
        <w:rPr>
          <w:rFonts w:ascii="Times New Roman" w:eastAsia="黑体" w:hAnsi="Times New Roman" w:cs="黑体" w:hint="default"/>
          <w:color w:val="000000"/>
          <w:sz w:val="32"/>
          <w:szCs w:val="32"/>
        </w:rPr>
      </w:pPr>
      <w:r>
        <w:rPr>
          <w:rFonts w:ascii="Times New Roman" w:eastAsia="黑体" w:hAnsi="Times New Roman" w:cs="黑体"/>
          <w:color w:val="000000"/>
          <w:sz w:val="32"/>
          <w:szCs w:val="32"/>
        </w:rPr>
        <w:t>工作职责</w:t>
      </w:r>
    </w:p>
    <w:p w:rsidR="00DF08A9" w:rsidRDefault="002D40D8">
      <w:pPr>
        <w:pStyle w:val="HTML"/>
        <w:widowControl/>
        <w:numPr>
          <w:ilvl w:val="255"/>
          <w:numId w:val="0"/>
        </w:numPr>
        <w:ind w:firstLineChars="200"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贯彻落实党中央国务院决策部署，落实市委市政府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区委区政府优化营商环境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的工作要求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全面收集掌握滨海新区营商环境建设情况，围绕市场主体需求和人民群众期盼，聚焦营商环境中的堵点难点痛点，审议成员单位提出的工作建议，协调解决我区营商环境建设工作中的重大问题，全面推进我区市场化法治化国际化一流营商环境建设工作。</w:t>
      </w:r>
    </w:p>
    <w:p w:rsidR="00DF08A9" w:rsidRDefault="002D40D8">
      <w:pPr>
        <w:pStyle w:val="HTML"/>
        <w:widowControl/>
        <w:numPr>
          <w:ilvl w:val="255"/>
          <w:numId w:val="0"/>
        </w:numPr>
        <w:ind w:firstLineChars="200"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统筹推进跨部门协同改革，重点协调行政审批、监管执法、公共服务及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营商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环境评价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等工作，厘清职责分工，规范行政行为，提升行政效能。加强对各开发区、部门和街镇优化营商环境工作的业务指导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。</w:t>
      </w:r>
    </w:p>
    <w:p w:rsidR="00DF08A9" w:rsidRDefault="002D40D8">
      <w:pPr>
        <w:pStyle w:val="HTML"/>
        <w:widowControl/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系统推进营商环境宣传工作，精心策划宣传内容，及时向中央和市级主流媒体推介改革创新亮点成果。深入总结可复制推广的典型经验，促进先进做法在全区范围内落地见效。</w:t>
      </w:r>
    </w:p>
    <w:p w:rsidR="00DF08A9" w:rsidRDefault="002D40D8">
      <w:pPr>
        <w:pStyle w:val="HTML"/>
        <w:widowControl/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扎实推进天津市工程建设项目审批制度改革试点工作，持续精简审批流程，深化简政放权，全面提升审批效率和透明度，充分激发市场主体活力，增强经济发展内生动力。</w:t>
      </w:r>
    </w:p>
    <w:p w:rsidR="00DF08A9" w:rsidRDefault="002D40D8">
      <w:pPr>
        <w:pStyle w:val="HTML"/>
        <w:widowControl/>
        <w:ind w:firstLineChars="200"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黑体" w:hAnsi="Times New Roman" w:cs="黑体"/>
          <w:color w:val="000000"/>
          <w:sz w:val="32"/>
          <w:szCs w:val="32"/>
        </w:rPr>
        <w:t>二、组织架构</w:t>
      </w:r>
    </w:p>
    <w:p w:rsidR="00DF08A9" w:rsidRDefault="002D40D8">
      <w:pPr>
        <w:pStyle w:val="HTML"/>
        <w:widowControl/>
        <w:ind w:firstLineChars="200" w:firstLine="640"/>
        <w:jc w:val="both"/>
        <w:rPr>
          <w:rFonts w:ascii="Times New Roman" w:eastAsia="仿宋_GB2312" w:hAnsi="Times New Roman" w:cs="仿宋_GB2312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联席会议由</w:t>
      </w:r>
      <w:r>
        <w:rPr>
          <w:rFonts w:ascii="Times New Roman" w:eastAsia="仿宋_GB2312" w:hAnsi="Times New Roman" w:cs="仿宋_GB2312"/>
          <w:sz w:val="32"/>
          <w:szCs w:val="32"/>
        </w:rPr>
        <w:t>分管营商环境工作的</w:t>
      </w:r>
      <w:r>
        <w:rPr>
          <w:rFonts w:ascii="Times New Roman" w:eastAsia="仿宋_GB2312" w:hAnsi="Times New Roman" w:cs="仿宋_GB2312"/>
          <w:sz w:val="32"/>
          <w:szCs w:val="32"/>
        </w:rPr>
        <w:t>区领导</w:t>
      </w:r>
      <w:r>
        <w:rPr>
          <w:rFonts w:ascii="Times New Roman" w:eastAsia="仿宋_GB2312" w:hAnsi="Times New Roman" w:cs="仿宋_GB2312"/>
          <w:sz w:val="32"/>
          <w:szCs w:val="32"/>
        </w:rPr>
        <w:t>担任召集人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区政务服务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办主要负责同志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担任副召集人。</w:t>
      </w:r>
    </w:p>
    <w:p w:rsidR="00DF08A9" w:rsidRDefault="002D40D8">
      <w:pPr>
        <w:pStyle w:val="HTML"/>
        <w:widowControl/>
        <w:ind w:firstLineChars="200" w:firstLine="640"/>
        <w:jc w:val="both"/>
        <w:rPr>
          <w:rFonts w:ascii="Times New Roman" w:eastAsia="仿宋_GB2312" w:hAnsi="Times New Roman" w:cs="仿宋_GB2312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联席会议办公室设在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区政务服务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办，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区政务服务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办主要负责同志兼任办公室主任。</w:t>
      </w:r>
    </w:p>
    <w:p w:rsidR="00DF08A9" w:rsidRDefault="002D40D8">
      <w:pPr>
        <w:pStyle w:val="HTML"/>
        <w:widowControl/>
        <w:ind w:firstLineChars="200" w:firstLine="640"/>
        <w:jc w:val="both"/>
        <w:rPr>
          <w:rFonts w:ascii="仿宋_GB2312" w:eastAsia="仿宋_GB2312" w:hAnsi="仿宋_GB2312" w:cs="仿宋_GB2312" w:hint="default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联席会议成员单位为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区法院、各开发区管委会、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区委组织部、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区委宣传部、区委统战部、</w:t>
      </w:r>
      <w:proofErr w:type="gramStart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区委网信办</w:t>
      </w:r>
      <w:proofErr w:type="gramEnd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、区网格化管理中心、区发展改革委、区教体局、区科技局、区工业和信息化局、市公安局滨海分局、区民政局、区司法局、区财政局、区人社局、区生态环境局、区住房建设委、区城市管理委、区交通运输局、区水务局、区农业农村委、区商务和</w:t>
      </w:r>
      <w:proofErr w:type="gramStart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投促局</w:t>
      </w:r>
      <w:proofErr w:type="gramEnd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、区文化和旅游局、区卫生健康委、区应急局、区市场监管局、</w:t>
      </w:r>
      <w:r>
        <w:rPr>
          <w:rFonts w:ascii="Times New Roman" w:eastAsia="仿宋_GB2312" w:hAnsi="Times New Roman" w:cs="仿宋_GB2312"/>
          <w:sz w:val="32"/>
          <w:szCs w:val="32"/>
        </w:rPr>
        <w:t>区国资委、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区数据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局、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保局、区政务服务办、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区知识产权局、自贸区管委会办公室、自贸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区创新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发展局、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区工商联、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规划资源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局滨海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新区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分局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区税务局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、中国人民银行滨海新区分行、滨海金融监管分局、天津港集团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和国网天津滨海电力公司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，共</w:t>
      </w:r>
      <w:r>
        <w:rPr>
          <w:rFonts w:ascii="Times New Roman" w:eastAsia="仿宋_GB2312" w:hAnsi="Times New Roman" w:hint="default"/>
          <w:color w:val="00000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个成员单位。</w:t>
      </w:r>
    </w:p>
    <w:p w:rsidR="00DF08A9" w:rsidRDefault="002D40D8">
      <w:pPr>
        <w:pStyle w:val="HTML"/>
        <w:widowControl/>
        <w:ind w:firstLineChars="200"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各成员单位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分管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负责同志为联席会议成员，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具体工作负责同志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作为联络员，负责本部门（单位）营商环境建设工作的沟通联络。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联席会议成员因工作变动需要调整的，由所在单位向联席会议办公室提出，联席会议确定。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黑体" w:hAnsi="Times New Roman" w:cs="黑体"/>
          <w:color w:val="000000"/>
          <w:sz w:val="32"/>
          <w:szCs w:val="32"/>
        </w:rPr>
        <w:t>三、工作制度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联席会议分为成员会议、联络员会议。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eastAsia="仿宋_GB2312" w:hAnsi="Times New Roman" w:cs="仿宋_GB2312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成员会议根据党中央国务院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市委市政府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、区委区政府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相关部署要求或工作需要，</w:t>
      </w:r>
      <w:r>
        <w:rPr>
          <w:rFonts w:ascii="Times New Roman" w:eastAsia="仿宋_GB2312" w:hAnsi="Times New Roman" w:cs="仿宋_GB2312"/>
          <w:sz w:val="32"/>
          <w:szCs w:val="32"/>
        </w:rPr>
        <w:t>由召集人</w:t>
      </w:r>
      <w:r>
        <w:rPr>
          <w:rFonts w:ascii="Times New Roman" w:eastAsia="仿宋_GB2312" w:hAnsi="Times New Roman" w:cs="仿宋_GB2312"/>
          <w:sz w:val="32"/>
          <w:szCs w:val="32"/>
        </w:rPr>
        <w:t>或召集人委托副召集人</w:t>
      </w:r>
      <w:r>
        <w:rPr>
          <w:rFonts w:ascii="Times New Roman" w:eastAsia="仿宋_GB2312" w:hAnsi="Times New Roman" w:cs="仿宋_GB2312"/>
          <w:sz w:val="32"/>
          <w:szCs w:val="32"/>
        </w:rPr>
        <w:t>组织召开，各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联席会议成员</w:t>
      </w:r>
      <w:r>
        <w:rPr>
          <w:rFonts w:ascii="Times New Roman" w:eastAsia="仿宋_GB2312" w:hAnsi="Times New Roman" w:cs="仿宋_GB2312"/>
          <w:sz w:val="32"/>
          <w:szCs w:val="32"/>
        </w:rPr>
        <w:t>参加</w:t>
      </w:r>
      <w:r>
        <w:rPr>
          <w:rFonts w:ascii="Times New Roman" w:eastAsia="仿宋_GB2312" w:hAnsi="Times New Roman" w:cs="仿宋_GB2312"/>
          <w:sz w:val="32"/>
          <w:szCs w:val="32"/>
        </w:rPr>
        <w:t>，也可根据工作需要邀请其他相关单位参加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联络员</w:t>
      </w:r>
      <w:r>
        <w:rPr>
          <w:rFonts w:ascii="Times New Roman" w:eastAsia="仿宋_GB2312" w:hAnsi="Times New Roman" w:cs="仿宋_GB2312"/>
          <w:sz w:val="32"/>
          <w:szCs w:val="32"/>
        </w:rPr>
        <w:t>会议由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联席会议办公室</w:t>
      </w:r>
      <w:r>
        <w:rPr>
          <w:rFonts w:ascii="Times New Roman" w:eastAsia="仿宋_GB2312" w:hAnsi="Times New Roman" w:cs="仿宋_GB2312"/>
          <w:sz w:val="32"/>
          <w:szCs w:val="32"/>
        </w:rPr>
        <w:t>主任组织召开，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各成员单位联络员参加。主要研究提请成员会议审议议题、落实优化营商环境重点工作任务、协调解决各成员单位提出的问题等。对难以达成一致的问题，由联席会议办公室提请成员会议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审议。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hAnsi="Times New Roman" w:hint="default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各成员单位可于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联络员会议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前，向联席会议办公室报送联络员会议议题，并将议题的主要内容、</w:t>
      </w:r>
      <w:proofErr w:type="gramStart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需审议</w:t>
      </w:r>
      <w:proofErr w:type="gramEnd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的问题、存在的困难、工作建议等一并报送。联席会议办公室汇总后，确定列为联络员会议议题。</w:t>
      </w:r>
    </w:p>
    <w:p w:rsidR="00DF08A9" w:rsidRDefault="002D40D8">
      <w:pPr>
        <w:pStyle w:val="HTML"/>
        <w:widowControl/>
        <w:numPr>
          <w:ilvl w:val="0"/>
          <w:numId w:val="2"/>
        </w:numPr>
        <w:ind w:firstLine="640"/>
        <w:jc w:val="both"/>
        <w:rPr>
          <w:rFonts w:ascii="Times New Roman" w:eastAsia="黑体" w:hAnsi="Times New Roman" w:cs="黑体" w:hint="default"/>
          <w:color w:val="000000"/>
          <w:sz w:val="32"/>
          <w:szCs w:val="32"/>
        </w:rPr>
      </w:pPr>
      <w:r>
        <w:rPr>
          <w:rFonts w:ascii="Times New Roman" w:eastAsia="黑体" w:hAnsi="Times New Roman" w:cs="黑体"/>
          <w:color w:val="000000"/>
          <w:sz w:val="32"/>
          <w:szCs w:val="32"/>
        </w:rPr>
        <w:t>工作要求</w:t>
      </w:r>
    </w:p>
    <w:p w:rsidR="00DF08A9" w:rsidRDefault="002D40D8">
      <w:pPr>
        <w:pStyle w:val="HTML"/>
        <w:widowControl/>
        <w:ind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各成员单位要切实提高政治站位，强化优化营商环境的责任担当，主动对</w:t>
      </w:r>
      <w:proofErr w:type="gramStart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标先进</w:t>
      </w:r>
      <w:proofErr w:type="gramEnd"/>
      <w:r>
        <w:rPr>
          <w:rFonts w:ascii="Times New Roman" w:eastAsia="仿宋_GB2312" w:hAnsi="Times New Roman" w:cs="仿宋_GB2312"/>
          <w:color w:val="000000"/>
          <w:sz w:val="32"/>
          <w:szCs w:val="32"/>
        </w:rPr>
        <w:t>地区查找短板，按要求参与联席会议并精准提交议题建议，着力破解跨部门、跨区域协同难题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要强化系统思维，在推进本领域工作时注重协同配合，针对企业群众反映的堵点难点问题主动作为，着力构建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问题共商、责任共担、成效共享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的工作格局，确保各项改革举措精准落地、取得实效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政务服务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办要充分发挥统筹协调作用，牵头做好联席会议议定事项的任务分解，建立动态跟踪机制，通过定期走访调研督促政策落实质效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。</w:t>
      </w:r>
    </w:p>
    <w:p w:rsidR="00DF08A9" w:rsidRDefault="00DF08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rPr>
          <w:rFonts w:eastAsia="仿宋_GB2312" w:cs="仿宋_GB2312"/>
          <w:color w:val="000000"/>
          <w:sz w:val="32"/>
          <w:szCs w:val="32"/>
        </w:rPr>
        <w:sectPr w:rsidR="00DF08A9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cols w:space="720"/>
          <w:docGrid w:type="lines" w:linePitch="289" w:charSpace="-1844"/>
        </w:sectPr>
      </w:pPr>
    </w:p>
    <w:p w:rsidR="00DF08A9" w:rsidRDefault="002D40D8">
      <w:pPr>
        <w:widowControl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br w:type="page"/>
      </w:r>
    </w:p>
    <w:p w:rsidR="00DF08A9" w:rsidRDefault="002D40D8">
      <w:pPr>
        <w:widowControl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br w:type="page"/>
      </w:r>
    </w:p>
    <w:p w:rsidR="00DF08A9" w:rsidRDefault="00DF08A9">
      <w:pPr>
        <w:pStyle w:val="HTML"/>
        <w:widowControl/>
        <w:ind w:firstLine="640"/>
        <w:jc w:val="both"/>
        <w:rPr>
          <w:rFonts w:ascii="Times New Roman" w:eastAsia="仿宋_GB2312" w:hAnsi="Times New Roman" w:cs="仿宋_GB2312" w:hint="default"/>
          <w:color w:val="000000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8A9" w:rsidRDefault="00DF08A9">
      <w:pPr>
        <w:rPr>
          <w:rFonts w:ascii="仿宋_GB2312" w:eastAsia="仿宋_GB2312" w:hAnsi="仿宋"/>
          <w:sz w:val="28"/>
          <w:szCs w:val="28"/>
        </w:rPr>
      </w:pPr>
      <w:r w:rsidRPr="00DF08A9">
        <w:rPr>
          <w:rFonts w:ascii="黑体" w:eastAsia="黑体" w:hAnsi="仿宋"/>
          <w:sz w:val="32"/>
          <w:szCs w:val="32"/>
        </w:rPr>
        <w:pict>
          <v:line id="_x0000_s1028" style="position:absolute;left:0;text-align:left;z-index:251658240;mso-width-relative:page;mso-height-relative:page" from="-.1pt,30.5pt" to="442.3pt,30.5pt" strokeweight="1.25pt"/>
        </w:pict>
      </w:r>
      <w:r w:rsidRPr="00DF08A9">
        <w:rPr>
          <w:rFonts w:ascii="黑体" w:eastAsia="黑体" w:hAnsi="仿宋"/>
          <w:sz w:val="32"/>
          <w:szCs w:val="32"/>
        </w:rPr>
        <w:pict>
          <v:line id="_x0000_s1029" style="position:absolute;left:0;text-align:left;z-index:251659264;mso-width-relative:page;mso-height-relative:page" from="-.1pt,.75pt" to="442.3pt,.75pt" strokeweight="1.25pt"/>
        </w:pict>
      </w:r>
      <w:r w:rsidR="002D40D8">
        <w:rPr>
          <w:rFonts w:ascii="仿宋_GB2312" w:eastAsia="仿宋_GB2312" w:hAnsi="仿宋" w:hint="eastAsia"/>
          <w:sz w:val="28"/>
          <w:szCs w:val="28"/>
        </w:rPr>
        <w:t>天津市滨海新区人民政府政务服务办综合室</w:t>
      </w:r>
      <w:r w:rsidR="002D40D8">
        <w:rPr>
          <w:rFonts w:ascii="仿宋_GB2312" w:eastAsia="仿宋_GB2312" w:hAnsi="仿宋" w:hint="eastAsia"/>
          <w:sz w:val="28"/>
          <w:szCs w:val="28"/>
        </w:rPr>
        <w:t xml:space="preserve">    20</w:t>
      </w:r>
      <w:r w:rsidR="002D40D8">
        <w:rPr>
          <w:rFonts w:ascii="仿宋_GB2312" w:eastAsia="仿宋_GB2312" w:hAnsi="仿宋"/>
          <w:sz w:val="28"/>
          <w:szCs w:val="28"/>
          <w:lang/>
        </w:rPr>
        <w:t>25</w:t>
      </w:r>
      <w:r w:rsidR="002D40D8">
        <w:rPr>
          <w:rFonts w:ascii="仿宋_GB2312" w:eastAsia="仿宋_GB2312" w:hAnsi="仿宋" w:hint="eastAsia"/>
          <w:sz w:val="28"/>
          <w:szCs w:val="28"/>
        </w:rPr>
        <w:t>年</w:t>
      </w:r>
      <w:r w:rsidR="002D40D8">
        <w:rPr>
          <w:rFonts w:ascii="仿宋_GB2312" w:eastAsia="仿宋_GB2312" w:hAnsi="仿宋"/>
          <w:sz w:val="28"/>
          <w:szCs w:val="28"/>
          <w:lang/>
        </w:rPr>
        <w:t>5</w:t>
      </w:r>
      <w:r w:rsidR="002D40D8">
        <w:rPr>
          <w:rFonts w:ascii="仿宋_GB2312" w:eastAsia="仿宋_GB2312" w:hAnsi="仿宋" w:hint="eastAsia"/>
          <w:sz w:val="28"/>
          <w:szCs w:val="28"/>
        </w:rPr>
        <w:t>月</w:t>
      </w:r>
      <w:r w:rsidR="002D40D8">
        <w:rPr>
          <w:rFonts w:ascii="仿宋_GB2312" w:eastAsia="仿宋_GB2312" w:hAnsi="仿宋"/>
          <w:sz w:val="28"/>
          <w:szCs w:val="28"/>
          <w:lang/>
        </w:rPr>
        <w:t>30</w:t>
      </w:r>
      <w:r w:rsidR="002D40D8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DF08A9" w:rsidSect="00DF08A9">
      <w:footerReference w:type="even" r:id="rId10"/>
      <w:footerReference w:type="default" r:id="rId11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A9" w:rsidRDefault="00DF08A9" w:rsidP="00DF08A9">
      <w:r>
        <w:separator/>
      </w:r>
    </w:p>
  </w:endnote>
  <w:endnote w:type="continuationSeparator" w:id="1">
    <w:p w:rsidR="00DF08A9" w:rsidRDefault="00DF08A9" w:rsidP="00DF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A9" w:rsidRDefault="002D40D8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DF08A9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DF08A9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4</w:t>
    </w:r>
    <w:r w:rsidR="00DF08A9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DF08A9" w:rsidRDefault="00DF08A9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A9" w:rsidRDefault="002D40D8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DF08A9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DF08A9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1</w:t>
    </w:r>
    <w:r w:rsidR="00DF08A9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DF08A9" w:rsidRDefault="00DF08A9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A9" w:rsidRDefault="00DF08A9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A9" w:rsidRDefault="00DF08A9">
    <w:pPr>
      <w:pStyle w:val="a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A9" w:rsidRDefault="00DF08A9" w:rsidP="00DF08A9">
      <w:r>
        <w:separator/>
      </w:r>
    </w:p>
  </w:footnote>
  <w:footnote w:type="continuationSeparator" w:id="1">
    <w:p w:rsidR="00DF08A9" w:rsidRDefault="00DF08A9" w:rsidP="00DF0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CF7A6B"/>
    <w:multiLevelType w:val="singleLevel"/>
    <w:tmpl w:val="E0CF7A6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08E035"/>
    <w:multiLevelType w:val="singleLevel"/>
    <w:tmpl w:val="1208E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98B8D81"/>
    <w:rsid w:val="B19D3934"/>
    <w:rsid w:val="DED4E5EC"/>
    <w:rsid w:val="F5BD13AB"/>
    <w:rsid w:val="FFE64087"/>
    <w:rsid w:val="FFF69FD1"/>
    <w:rsid w:val="00000F20"/>
    <w:rsid w:val="000E5AD3"/>
    <w:rsid w:val="00172A27"/>
    <w:rsid w:val="00216D7C"/>
    <w:rsid w:val="00285642"/>
    <w:rsid w:val="002A50C9"/>
    <w:rsid w:val="002C4097"/>
    <w:rsid w:val="002D40D8"/>
    <w:rsid w:val="00381ACD"/>
    <w:rsid w:val="003B11BD"/>
    <w:rsid w:val="003E14D5"/>
    <w:rsid w:val="00487E51"/>
    <w:rsid w:val="004B50D7"/>
    <w:rsid w:val="004D13D9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DF08A9"/>
    <w:rsid w:val="00E20FA7"/>
    <w:rsid w:val="00E71DA6"/>
    <w:rsid w:val="00E92770"/>
    <w:rsid w:val="00F84EC7"/>
    <w:rsid w:val="1EBADD91"/>
    <w:rsid w:val="2B377EFA"/>
    <w:rsid w:val="2F6E2B88"/>
    <w:rsid w:val="3E9F059E"/>
    <w:rsid w:val="45FB592D"/>
    <w:rsid w:val="59DD3E88"/>
    <w:rsid w:val="68FFB699"/>
    <w:rsid w:val="6FB740E3"/>
    <w:rsid w:val="73F789A6"/>
    <w:rsid w:val="7C5F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DF08A9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DF08A9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DF08A9"/>
    <w:rPr>
      <w:sz w:val="18"/>
      <w:szCs w:val="18"/>
    </w:rPr>
  </w:style>
  <w:style w:type="paragraph" w:styleId="a6">
    <w:name w:val="footer"/>
    <w:basedOn w:val="a"/>
    <w:link w:val="Char"/>
    <w:qFormat/>
    <w:rsid w:val="00DF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F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DF0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Title"/>
    <w:basedOn w:val="a"/>
    <w:next w:val="a"/>
    <w:link w:val="Char0"/>
    <w:qFormat/>
    <w:rsid w:val="00DF08A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DF08A9"/>
  </w:style>
  <w:style w:type="character" w:styleId="aa">
    <w:name w:val="FollowedHyperlink"/>
    <w:basedOn w:val="a0"/>
    <w:qFormat/>
    <w:rsid w:val="00DF08A9"/>
    <w:rPr>
      <w:color w:val="800080"/>
      <w:u w:val="single"/>
    </w:rPr>
  </w:style>
  <w:style w:type="character" w:styleId="ab">
    <w:name w:val="Hyperlink"/>
    <w:basedOn w:val="a0"/>
    <w:qFormat/>
    <w:rsid w:val="00DF08A9"/>
    <w:rPr>
      <w:color w:val="0000FF"/>
      <w:u w:val="single"/>
    </w:rPr>
  </w:style>
  <w:style w:type="paragraph" w:customStyle="1" w:styleId="Style2">
    <w:name w:val="_Style 2"/>
    <w:basedOn w:val="a"/>
    <w:qFormat/>
    <w:rsid w:val="00DF08A9"/>
  </w:style>
  <w:style w:type="paragraph" w:customStyle="1" w:styleId="Standard">
    <w:name w:val="Standard"/>
    <w:qFormat/>
    <w:rsid w:val="00DF08A9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DF08A9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DF08A9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DF08A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DF08A9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DF08A9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DF08A9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DF08A9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DF08A9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DF08A9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DF08A9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DF08A9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1712</Words>
  <Characters>80</Characters>
  <Application>Microsoft Office Word</Application>
  <DocSecurity>0</DocSecurity>
  <Lines>1</Lines>
  <Paragraphs>3</Paragraphs>
  <ScaleCrop>false</ScaleCrop>
  <Company>微软中国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2014-07-08T04:32:00Z</cp:lastPrinted>
  <dcterms:created xsi:type="dcterms:W3CDTF">2020-10-11T05:55:00Z</dcterms:created>
  <dcterms:modified xsi:type="dcterms:W3CDTF">2025-06-10T03:31:00Z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