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B90EE">
      <w:pPr>
        <w:rPr>
          <w:rFonts w:ascii="仿宋_GB2312" w:eastAsia="仿宋_GB2312"/>
          <w:sz w:val="32"/>
          <w:szCs w:val="32"/>
        </w:rPr>
      </w:pPr>
    </w:p>
    <w:p w14:paraId="60F0241E">
      <w:pPr>
        <w:pStyle w:val="2"/>
      </w:pPr>
    </w:p>
    <w:p w14:paraId="32725344">
      <w:pPr>
        <w:rPr>
          <w:rFonts w:ascii="仿宋_GB2312" w:eastAsia="仿宋_GB2312"/>
          <w:sz w:val="32"/>
          <w:szCs w:val="32"/>
        </w:rPr>
      </w:pPr>
    </w:p>
    <w:p w14:paraId="16F2C1AE">
      <w:pPr>
        <w:spacing w:line="360" w:lineRule="auto"/>
        <w:jc w:val="center"/>
        <w:rPr>
          <w:rFonts w:ascii="仿宋_GB2312" w:eastAsia="仿宋_GB2312"/>
          <w:sz w:val="32"/>
          <w:szCs w:val="32"/>
        </w:rPr>
      </w:pPr>
    </w:p>
    <w:p w14:paraId="1A89493F">
      <w:pPr>
        <w:jc w:val="center"/>
        <w:rPr>
          <w:rFonts w:eastAsia="仿宋_GB2312"/>
          <w:sz w:val="32"/>
          <w:szCs w:val="32"/>
        </w:rPr>
      </w:pPr>
    </w:p>
    <w:p w14:paraId="64E853BB">
      <w:pPr>
        <w:jc w:val="center"/>
        <w:rPr>
          <w:rFonts w:ascii="仿宋_GB2312" w:eastAsia="仿宋_GB2312"/>
          <w:sz w:val="32"/>
          <w:szCs w:val="32"/>
          <w:highlight w:val="yellow"/>
        </w:rPr>
      </w:pPr>
      <w:r>
        <w:rPr>
          <w:rFonts w:eastAsia="仿宋_GB2312"/>
          <w:sz w:val="32"/>
          <w:szCs w:val="32"/>
          <w:highlight w:val="none"/>
        </w:rPr>
        <w:t>津滨审批二室准〔20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159</w:t>
      </w:r>
      <w:r>
        <w:rPr>
          <w:rFonts w:eastAsia="仿宋_GB2312"/>
          <w:sz w:val="32"/>
          <w:szCs w:val="32"/>
          <w:highlight w:val="none"/>
        </w:rPr>
        <w:t>号</w:t>
      </w:r>
    </w:p>
    <w:p w14:paraId="4AFFEF73">
      <w:pPr>
        <w:rPr>
          <w:rFonts w:ascii="仿宋_GB2312" w:eastAsia="仿宋_GB2312"/>
          <w:sz w:val="32"/>
          <w:szCs w:val="32"/>
        </w:rPr>
      </w:pPr>
      <w:bookmarkStart w:id="0" w:name="_GoBack"/>
      <w:bookmarkEnd w:id="0"/>
    </w:p>
    <w:p w14:paraId="47EA0666">
      <w:pPr>
        <w:pStyle w:val="13"/>
        <w:spacing w:line="580" w:lineRule="exact"/>
        <w:jc w:val="center"/>
        <w:rPr>
          <w:rFonts w:eastAsia="仿宋_GB2312"/>
          <w:kern w:val="2"/>
          <w:sz w:val="32"/>
          <w:szCs w:val="32"/>
        </w:rPr>
      </w:pPr>
    </w:p>
    <w:p w14:paraId="5B883973">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w:t>
      </w:r>
      <w:r>
        <w:rPr>
          <w:rFonts w:hint="eastAsia" w:ascii="方正小标宋简体" w:hAnsi="宋体" w:eastAsia="方正小标宋简体"/>
          <w:color w:val="000000"/>
          <w:sz w:val="44"/>
          <w:lang w:val="en"/>
        </w:rPr>
        <w:t>于中国石化销售股份有限公司天津石油</w:t>
      </w:r>
    </w:p>
    <w:p w14:paraId="7238AB5A">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lang w:val="en"/>
        </w:rPr>
        <w:t>分公司大港世纪大道加油站改扩建项目</w:t>
      </w:r>
    </w:p>
    <w:p w14:paraId="566B0EA5">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14:paraId="33E0FDFD">
      <w:pPr>
        <w:spacing w:line="0" w:lineRule="atLeast"/>
        <w:jc w:val="center"/>
        <w:rPr>
          <w:rFonts w:ascii="宋体" w:hAnsi="宋体"/>
          <w:b/>
          <w:color w:val="000000"/>
          <w:szCs w:val="21"/>
        </w:rPr>
      </w:pPr>
    </w:p>
    <w:p w14:paraId="11286F34">
      <w:pPr>
        <w:pStyle w:val="13"/>
        <w:spacing w:line="600" w:lineRule="exact"/>
        <w:jc w:val="both"/>
        <w:rPr>
          <w:rFonts w:eastAsia="仿宋_GB2312"/>
          <w:color w:val="auto"/>
          <w:sz w:val="32"/>
          <w:szCs w:val="32"/>
        </w:rPr>
      </w:pPr>
      <w:r>
        <w:rPr>
          <w:rFonts w:hint="eastAsia" w:eastAsia="仿宋_GB2312"/>
          <w:sz w:val="32"/>
          <w:szCs w:val="32"/>
        </w:rPr>
        <w:t>中国石化销售股份有限公司天津石油分公司</w:t>
      </w:r>
      <w:r>
        <w:rPr>
          <w:rFonts w:hint="eastAsia" w:eastAsia="仿宋_GB2312"/>
          <w:color w:val="auto"/>
          <w:sz w:val="32"/>
          <w:szCs w:val="32"/>
        </w:rPr>
        <w:t>：</w:t>
      </w:r>
    </w:p>
    <w:p w14:paraId="30F4F6D2">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w:t>
      </w:r>
      <w:r>
        <w:rPr>
          <w:rFonts w:hint="eastAsia" w:eastAsia="仿宋_GB2312"/>
          <w:sz w:val="32"/>
          <w:szCs w:val="32"/>
          <w:highlight w:val="none"/>
        </w:rPr>
        <w:t>《</w:t>
      </w:r>
      <w:r>
        <w:rPr>
          <w:rFonts w:hint="eastAsia" w:eastAsia="仿宋_GB2312"/>
          <w:sz w:val="32"/>
          <w:szCs w:val="32"/>
          <w:highlight w:val="none"/>
          <w:lang w:eastAsia="zh-CN"/>
        </w:rPr>
        <w:t>建设项目环境影响审批申请书</w:t>
      </w:r>
      <w:r>
        <w:rPr>
          <w:rFonts w:hint="eastAsia" w:eastAsia="仿宋_GB2312"/>
          <w:sz w:val="32"/>
          <w:szCs w:val="32"/>
          <w:highlight w:val="none"/>
        </w:rPr>
        <w:t>》、世</w:t>
      </w:r>
      <w:r>
        <w:rPr>
          <w:rFonts w:hint="eastAsia" w:eastAsia="仿宋_GB2312"/>
          <w:sz w:val="32"/>
          <w:szCs w:val="32"/>
        </w:rPr>
        <w:t>纪鑫海（天津）环境科技有限公司</w:t>
      </w:r>
      <w:r>
        <w:rPr>
          <w:rFonts w:hint="eastAsia" w:eastAsia="仿宋_GB2312"/>
          <w:sz w:val="32"/>
          <w:szCs w:val="32"/>
          <w:lang w:eastAsia="zh-CN"/>
        </w:rPr>
        <w:t>编制的</w:t>
      </w:r>
      <w:r>
        <w:rPr>
          <w:rFonts w:hint="eastAsia" w:eastAsia="仿宋_GB2312"/>
          <w:sz w:val="32"/>
          <w:szCs w:val="32"/>
        </w:rPr>
        <w:t>《中国石化销售股份有限公司天津石油分公司大港世纪大道加油站改扩建项目</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7E161E8E">
      <w:pPr>
        <w:numPr>
          <w:ilvl w:val="0"/>
          <w:numId w:val="1"/>
        </w:numPr>
        <w:spacing w:line="600" w:lineRule="exact"/>
        <w:ind w:firstLine="640" w:firstLineChars="200"/>
        <w:textAlignment w:val="baseline"/>
        <w:rPr>
          <w:rFonts w:eastAsia="仿宋_GB2312"/>
          <w:sz w:val="32"/>
          <w:szCs w:val="32"/>
        </w:rPr>
      </w:pPr>
      <w:r>
        <w:rPr>
          <w:rFonts w:hint="eastAsia" w:eastAsia="仿宋_GB2312"/>
          <w:sz w:val="32"/>
          <w:szCs w:val="32"/>
        </w:rPr>
        <w:t>大港世纪大道加油站位于滨海新区大港世纪大道东端2号</w:t>
      </w:r>
      <w:r>
        <w:rPr>
          <w:rFonts w:hint="eastAsia" w:eastAsia="仿宋_GB2312"/>
          <w:sz w:val="32"/>
          <w:szCs w:val="32"/>
          <w:lang w:val="en-US" w:eastAsia="zh-CN"/>
        </w:rPr>
        <w:t>。本次改造拆除现有4台2枪汽油加油机，更换为4台4枪汽油加油机，改造油气处理装置。改造完成后，加油站有3座30立方米汽油储罐、2座30立方米柴油储罐，3台双枪汽油加油机，4台4枪汽油加油机，1台4枪柴油加油机。加油站汽油销售量由10000t/a增加至15000t/a，柴油销售量1800/a（不变）。</w:t>
      </w:r>
      <w:r>
        <w:rPr>
          <w:rFonts w:hint="eastAsia" w:eastAsia="仿宋_GB2312"/>
          <w:sz w:val="32"/>
          <w:szCs w:val="32"/>
        </w:rPr>
        <w:t>项目总投资</w:t>
      </w:r>
      <w:r>
        <w:rPr>
          <w:rFonts w:hint="eastAsia" w:eastAsia="仿宋_GB2312"/>
          <w:sz w:val="32"/>
          <w:szCs w:val="32"/>
          <w:lang w:val="en-US" w:eastAsia="zh-CN"/>
        </w:rPr>
        <w:t>45.5</w:t>
      </w:r>
      <w:r>
        <w:rPr>
          <w:rFonts w:hint="eastAsia" w:eastAsia="仿宋_GB2312"/>
          <w:sz w:val="32"/>
          <w:szCs w:val="32"/>
        </w:rPr>
        <w:t>万元，环保投资</w:t>
      </w:r>
      <w:r>
        <w:rPr>
          <w:rFonts w:hint="eastAsia" w:eastAsia="仿宋_GB2312"/>
          <w:sz w:val="32"/>
          <w:szCs w:val="32"/>
          <w:lang w:val="en-US" w:eastAsia="zh-CN"/>
        </w:rPr>
        <w:t>4.5</w:t>
      </w:r>
      <w:r>
        <w:rPr>
          <w:rFonts w:hint="eastAsia" w:eastAsia="仿宋_GB2312"/>
          <w:sz w:val="32"/>
          <w:szCs w:val="32"/>
        </w:rPr>
        <w:t>万元，占总投资的</w:t>
      </w:r>
      <w:r>
        <w:rPr>
          <w:rFonts w:hint="eastAsia" w:eastAsia="仿宋_GB2312"/>
          <w:sz w:val="32"/>
          <w:szCs w:val="32"/>
          <w:lang w:val="en-US" w:eastAsia="zh-CN"/>
        </w:rPr>
        <w:t>10</w:t>
      </w:r>
      <w:r>
        <w:rPr>
          <w:rFonts w:hint="eastAsia" w:eastAsia="仿宋_GB2312"/>
          <w:sz w:val="32"/>
          <w:szCs w:val="32"/>
        </w:rPr>
        <w:t>%。</w:t>
      </w:r>
    </w:p>
    <w:p w14:paraId="77C7CD2F">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2025年4月29日至5月8日，</w:t>
      </w:r>
      <w:r>
        <w:rPr>
          <w:rFonts w:eastAsia="仿宋_GB2312"/>
          <w:sz w:val="32"/>
          <w:szCs w:val="32"/>
        </w:rPr>
        <w:t>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eastAsia="仿宋_GB2312"/>
          <w:sz w:val="32"/>
          <w:szCs w:val="32"/>
          <w:highlight w:val="none"/>
        </w:rPr>
        <w:t>；</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14</w:t>
      </w:r>
      <w:r>
        <w:rPr>
          <w:rFonts w:eastAsia="仿宋_GB2312"/>
          <w:sz w:val="32"/>
          <w:szCs w:val="32"/>
          <w:highlight w:val="none"/>
        </w:rPr>
        <w:t>日至</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20</w:t>
      </w:r>
      <w:r>
        <w:rPr>
          <w:rFonts w:eastAsia="仿宋_GB2312"/>
          <w:sz w:val="32"/>
          <w:szCs w:val="32"/>
          <w:highlight w:val="none"/>
        </w:rPr>
        <w:t>日，将</w:t>
      </w:r>
      <w:r>
        <w:rPr>
          <w:rFonts w:eastAsia="仿宋_GB2312"/>
          <w:sz w:val="32"/>
          <w:szCs w:val="32"/>
        </w:rPr>
        <w:t>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57A1397E">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062C73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施工期间应严格执行国家相关环保法律法规和落实环评报告中提出的污染防范措施：做到合法施工，文明生产，</w:t>
      </w:r>
      <w:r>
        <w:rPr>
          <w:rFonts w:hint="eastAsia" w:ascii="Times New Roman" w:hAnsi="Times New Roman" w:eastAsia="仿宋_GB2312" w:cs="Times New Roman"/>
          <w:color w:val="auto"/>
          <w:sz w:val="32"/>
          <w:szCs w:val="32"/>
          <w:lang w:eastAsia="zh-CN"/>
        </w:rPr>
        <w:t>妥善处置含油沾染废物、拆除的加油机及其内部残油等固体废弃物</w:t>
      </w:r>
      <w:r>
        <w:rPr>
          <w:rFonts w:hint="default" w:ascii="Times New Roman" w:hAnsi="Times New Roman" w:eastAsia="仿宋_GB2312" w:cs="Times New Roman"/>
          <w:color w:val="auto"/>
          <w:sz w:val="32"/>
          <w:szCs w:val="32"/>
        </w:rPr>
        <w:t>；合理安排施工时间和施工区域，加强对高噪声机械的管理。</w:t>
      </w:r>
    </w:p>
    <w:p w14:paraId="6C9FF0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运营期间，卸油产生的废气通过卸油油气回收系统收集后返回至油罐车内；加油过程产生的废气经加油油气回收系统收集后返回汽油储罐；安装与轻型汽车ORVR系统兼容的油气处理装置，汽油储罐呼吸产生的气体进入油气处理装置，处理达标的</w:t>
      </w:r>
      <w:r>
        <w:rPr>
          <w:rFonts w:hint="eastAsia" w:eastAsia="仿宋_GB2312" w:cs="Times New Roman"/>
          <w:color w:val="auto"/>
          <w:sz w:val="32"/>
          <w:szCs w:val="32"/>
          <w:lang w:val="en-US" w:eastAsia="zh-CN"/>
        </w:rPr>
        <w:t>废气</w:t>
      </w:r>
      <w:r>
        <w:rPr>
          <w:rFonts w:hint="eastAsia" w:ascii="Times New Roman" w:hAnsi="Times New Roman" w:eastAsia="仿宋_GB2312" w:cs="Times New Roman"/>
          <w:color w:val="auto"/>
          <w:sz w:val="32"/>
          <w:szCs w:val="32"/>
          <w:lang w:val="en-US" w:eastAsia="zh-CN"/>
        </w:rPr>
        <w:t>由一根4米高排气筒排放。</w:t>
      </w:r>
    </w:p>
    <w:p w14:paraId="39541E66">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14:paraId="38A37904">
      <w:pPr>
        <w:spacing w:line="60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w:t>
      </w:r>
      <w:r>
        <w:rPr>
          <w:rFonts w:hint="eastAsia" w:eastAsia="仿宋_GB2312"/>
          <w:sz w:val="32"/>
          <w:szCs w:val="32"/>
          <w:highlight w:val="none"/>
          <w:lang w:eastAsia="zh-CN"/>
        </w:rPr>
        <w:t>该项目不新增生活污水。</w:t>
      </w:r>
    </w:p>
    <w:p w14:paraId="49FBEE2C">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14:paraId="7405E57C">
      <w:pPr>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ascii="Times New Roman" w:hAnsi="Times New Roman" w:eastAsia="仿宋_GB2312" w:cs="Times New Roman"/>
          <w:sz w:val="32"/>
          <w:szCs w:val="32"/>
          <w:lang w:val="en-US" w:eastAsia="zh-CN"/>
        </w:rPr>
        <w:t>做好各类固体废物的收集、贮存、运输和处置，做到资源化、减量化、无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害化。</w:t>
      </w:r>
      <w:r>
        <w:rPr>
          <w:rFonts w:hint="eastAsia" w:eastAsia="仿宋_GB2312" w:cs="Times New Roman"/>
          <w:sz w:val="32"/>
          <w:szCs w:val="32"/>
          <w:lang w:val="en-US" w:eastAsia="zh-CN"/>
        </w:rPr>
        <w:t>该项目增加的</w:t>
      </w:r>
      <w:r>
        <w:rPr>
          <w:rFonts w:hint="eastAsia" w:ascii="Times New Roman" w:hAnsi="Times New Roman" w:eastAsia="仿宋_GB2312" w:cs="Times New Roman"/>
          <w:sz w:val="32"/>
          <w:szCs w:val="32"/>
          <w:lang w:eastAsia="zh-CN"/>
        </w:rPr>
        <w:t>废干燥剂、废防水滤芯、废活性炭等危险废物</w:t>
      </w:r>
      <w:r>
        <w:rPr>
          <w:rFonts w:hint="eastAsia" w:ascii="Times New Roman" w:hAnsi="Times New Roman" w:eastAsia="仿宋_GB2312" w:cs="Times New Roman"/>
          <w:sz w:val="32"/>
          <w:szCs w:val="32"/>
          <w:lang w:val="en-US" w:eastAsia="zh-CN"/>
        </w:rPr>
        <w:t>须交由有相应资质的单位进行处理、处置</w:t>
      </w:r>
      <w:r>
        <w:rPr>
          <w:rFonts w:hint="eastAsia" w:eastAsia="仿宋_GB2312" w:cs="Times New Roman"/>
          <w:sz w:val="32"/>
          <w:szCs w:val="32"/>
          <w:lang w:val="en-US" w:eastAsia="zh-CN"/>
        </w:rPr>
        <w:t>。</w:t>
      </w:r>
      <w:r>
        <w:rPr>
          <w:rFonts w:hint="eastAsia" w:eastAsia="仿宋_GB2312" w:cs="Times New Roman"/>
          <w:color w:val="000000" w:themeColor="text1"/>
          <w:sz w:val="32"/>
          <w:szCs w:val="32"/>
          <w:lang w:val="en-US" w:eastAsia="zh-CN"/>
          <w14:textFill>
            <w14:solidFill>
              <w14:schemeClr w14:val="tx1"/>
            </w14:solidFill>
          </w14:textFill>
        </w:rPr>
        <w:t xml:space="preserve"> </w:t>
      </w:r>
    </w:p>
    <w:p w14:paraId="42F9DA8E">
      <w:pPr>
        <w:spacing w:line="600" w:lineRule="exact"/>
        <w:ind w:firstLine="640" w:firstLineChars="200"/>
        <w:textAlignment w:val="baseline"/>
        <w:rPr>
          <w:rFonts w:eastAsia="仿宋_GB2312"/>
          <w:sz w:val="32"/>
          <w:szCs w:val="32"/>
        </w:rPr>
      </w:pPr>
      <w:r>
        <w:rPr>
          <w:rFonts w:hint="eastAsia" w:ascii="Times New Roman" w:hAnsi="Times New Roman" w:eastAsia="仿宋_GB2312" w:cs="Times New Roman"/>
          <w:sz w:val="32"/>
          <w:szCs w:val="32"/>
        </w:rPr>
        <w:t>危险废物暂存</w:t>
      </w:r>
      <w:r>
        <w:rPr>
          <w:rFonts w:hint="eastAsia" w:eastAsia="仿宋_GB2312" w:cs="Times New Roman"/>
          <w:sz w:val="32"/>
          <w:szCs w:val="32"/>
          <w:lang w:eastAsia="zh-CN"/>
        </w:rPr>
        <w:t>场所</w:t>
      </w:r>
      <w:r>
        <w:rPr>
          <w:rFonts w:hint="eastAsia" w:ascii="Times New Roman" w:hAnsi="Times New Roman" w:eastAsia="仿宋_GB2312" w:cs="Times New Roman"/>
          <w:sz w:val="32"/>
          <w:szCs w:val="32"/>
        </w:rPr>
        <w:t>应</w:t>
      </w:r>
      <w:r>
        <w:rPr>
          <w:rFonts w:hint="eastAsia" w:eastAsia="仿宋_GB2312" w:cs="Times New Roman"/>
          <w:sz w:val="32"/>
          <w:szCs w:val="32"/>
          <w:lang w:eastAsia="zh-CN"/>
        </w:rPr>
        <w:t>按照相关规定</w:t>
      </w:r>
      <w:r>
        <w:rPr>
          <w:rFonts w:hint="eastAsia" w:ascii="Times New Roman" w:hAnsi="Times New Roman" w:eastAsia="仿宋_GB2312" w:cs="Times New Roman"/>
          <w:sz w:val="32"/>
          <w:szCs w:val="32"/>
        </w:rPr>
        <w:t>进行</w:t>
      </w:r>
      <w:r>
        <w:rPr>
          <w:rFonts w:hint="eastAsia" w:eastAsia="仿宋_GB2312" w:cs="Times New Roman"/>
          <w:sz w:val="32"/>
          <w:szCs w:val="32"/>
          <w:lang w:eastAsia="zh-CN"/>
        </w:rPr>
        <w:t>完善</w:t>
      </w:r>
      <w:r>
        <w:rPr>
          <w:rFonts w:hint="eastAsia" w:ascii="Times New Roman" w:hAnsi="Times New Roman" w:eastAsia="仿宋_GB2312" w:cs="Times New Roman"/>
          <w:sz w:val="32"/>
          <w:szCs w:val="32"/>
        </w:rPr>
        <w:t>和管理</w:t>
      </w:r>
      <w:r>
        <w:rPr>
          <w:rFonts w:hint="eastAsia" w:eastAsia="仿宋_GB2312" w:cs="Times New Roman"/>
          <w:sz w:val="32"/>
          <w:szCs w:val="32"/>
          <w:lang w:eastAsia="zh-CN"/>
        </w:rPr>
        <w:t>，并</w:t>
      </w:r>
      <w:r>
        <w:rPr>
          <w:rFonts w:hint="default" w:ascii="Times New Roman" w:hAnsi="Times New Roman" w:eastAsia="仿宋_GB2312" w:cs="Times New Roman"/>
          <w:sz w:val="32"/>
          <w:szCs w:val="32"/>
          <w:lang w:eastAsia="zh-CN"/>
        </w:rPr>
        <w:t>按照《工业危险废物产生单位规范化管理指标及抽查表》做好危险废物规范化管理工作。</w:t>
      </w:r>
    </w:p>
    <w:p w14:paraId="5AF1C78B">
      <w:pPr>
        <w:numPr>
          <w:ilvl w:val="0"/>
          <w:numId w:val="0"/>
        </w:numPr>
        <w:spacing w:line="600" w:lineRule="exact"/>
        <w:textAlignment w:val="baseline"/>
        <w:rPr>
          <w:rFonts w:hint="default" w:ascii="Times New Roman" w:hAnsi="Times New Roman" w:eastAsia="仿宋_GB2312" w:cs="Times New Roman"/>
          <w:color w:val="auto"/>
          <w:sz w:val="32"/>
          <w:szCs w:val="32"/>
          <w:lang w:val="en-US" w:eastAsia="zh-CN"/>
        </w:rPr>
      </w:pPr>
      <w:r>
        <w:rPr>
          <w:rFonts w:hint="eastAsia" w:eastAsia="仿宋_GB2312" w:cs="Times New Roman"/>
          <w:bCs/>
          <w:color w:val="auto"/>
          <w:sz w:val="32"/>
          <w:szCs w:val="32"/>
          <w:lang w:val="en-US" w:eastAsia="zh-CN"/>
        </w:rPr>
        <w:t xml:space="preserve">    6.</w:t>
      </w:r>
      <w:r>
        <w:rPr>
          <w:rFonts w:eastAsia="仿宋_GB2312"/>
          <w:bCs/>
          <w:sz w:val="32"/>
          <w:szCs w:val="32"/>
        </w:rPr>
        <w:t>加强管理</w:t>
      </w:r>
      <w:r>
        <w:rPr>
          <w:rFonts w:hint="eastAsia" w:eastAsia="仿宋_GB2312"/>
          <w:bCs/>
          <w:sz w:val="32"/>
          <w:szCs w:val="32"/>
          <w:lang w:eastAsia="zh-CN"/>
        </w:rPr>
        <w:t>，</w:t>
      </w:r>
      <w:r>
        <w:rPr>
          <w:rFonts w:eastAsia="仿宋_GB2312"/>
          <w:bCs/>
          <w:sz w:val="32"/>
          <w:szCs w:val="32"/>
        </w:rPr>
        <w:t>采取严格的防渗、防泄漏、防腐蚀等措施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做好地下水污染和土壤污染的防控工作：完善分区防渗，合理设置地下水监测井。</w:t>
      </w:r>
    </w:p>
    <w:p w14:paraId="57978D31">
      <w:pPr>
        <w:numPr>
          <w:ilvl w:val="0"/>
          <w:numId w:val="0"/>
        </w:numPr>
        <w:spacing w:line="600" w:lineRule="exact"/>
        <w:ind w:firstLine="64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留</w:t>
      </w:r>
      <w:r>
        <w:rPr>
          <w:rFonts w:hint="eastAsia" w:eastAsia="仿宋_GB2312" w:cs="Times New Roman"/>
          <w:sz w:val="32"/>
          <w:szCs w:val="32"/>
          <w:lang w:eastAsia="zh-CN"/>
        </w:rPr>
        <w:t>存</w:t>
      </w:r>
      <w:r>
        <w:rPr>
          <w:rFonts w:hint="eastAsia" w:ascii="Times New Roman" w:hAnsi="Times New Roman" w:eastAsia="仿宋_GB2312" w:cs="Times New Roman"/>
          <w:sz w:val="32"/>
          <w:szCs w:val="32"/>
        </w:rPr>
        <w:t>隐蔽工程施工期间的影像资料，作为项目竣工环境保护验收的凭证。</w:t>
      </w:r>
    </w:p>
    <w:p w14:paraId="13B7E169">
      <w:pPr>
        <w:numPr>
          <w:ilvl w:val="0"/>
          <w:numId w:val="0"/>
        </w:numPr>
        <w:spacing w:line="600" w:lineRule="exact"/>
        <w:ind w:firstLine="640"/>
        <w:textAlignment w:val="baseline"/>
        <w:rPr>
          <w:rFonts w:hint="eastAsia" w:eastAsia="仿宋_GB2312"/>
          <w:sz w:val="32"/>
          <w:szCs w:val="32"/>
          <w:lang w:eastAsia="zh-CN"/>
        </w:rPr>
      </w:pPr>
      <w:r>
        <w:rPr>
          <w:rFonts w:hint="eastAsia" w:eastAsia="仿宋_GB2312"/>
          <w:sz w:val="32"/>
          <w:szCs w:val="32"/>
          <w:lang w:val="en-US" w:eastAsia="zh-CN"/>
        </w:rPr>
        <w:t>7</w:t>
      </w:r>
      <w:r>
        <w:rPr>
          <w:rFonts w:hint="eastAsia" w:eastAsia="仿宋_GB2312"/>
          <w:sz w:val="32"/>
          <w:szCs w:val="32"/>
        </w:rPr>
        <w:t>.</w:t>
      </w:r>
      <w:r>
        <w:rPr>
          <w:rFonts w:hint="eastAsia" w:eastAsia="仿宋_GB2312"/>
          <w:sz w:val="32"/>
          <w:szCs w:val="32"/>
          <w:lang w:eastAsia="zh-CN"/>
        </w:rPr>
        <w:t>落实报告表提出的环境监测计划，定期开展监测工作。</w:t>
      </w:r>
    </w:p>
    <w:p w14:paraId="432B7C22">
      <w:pPr>
        <w:spacing w:line="600" w:lineRule="exact"/>
        <w:ind w:firstLine="640" w:firstLineChars="200"/>
        <w:textAlignment w:val="baseline"/>
        <w:rPr>
          <w:rFonts w:eastAsia="仿宋_GB2312"/>
          <w:sz w:val="32"/>
          <w:szCs w:val="32"/>
          <w:highlight w:val="none"/>
        </w:rPr>
      </w:pPr>
      <w:r>
        <w:rPr>
          <w:rFonts w:hint="eastAsia" w:eastAsia="仿宋_GB2312"/>
          <w:sz w:val="32"/>
          <w:szCs w:val="32"/>
          <w:lang w:val="en-US" w:eastAsia="zh-CN"/>
        </w:rPr>
        <w:t>8.</w:t>
      </w:r>
      <w:r>
        <w:rPr>
          <w:rFonts w:hint="eastAsia" w:eastAsia="仿宋_GB2312"/>
          <w:sz w:val="32"/>
          <w:szCs w:val="32"/>
        </w:rPr>
        <w:t>强化各项环境风险防范措施，</w:t>
      </w:r>
      <w:r>
        <w:rPr>
          <w:rFonts w:hint="eastAsia"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突发环境风险应急预案并向区生态环境局报备</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kern w:val="44"/>
          <w:sz w:val="32"/>
          <w:szCs w:val="32"/>
          <w:lang w:val="en-US" w:eastAsia="zh-CN" w:bidi="ar-SA"/>
        </w:rPr>
        <w:t>定期开展突发环境事件应急演练，提高应对突</w:t>
      </w:r>
      <w:r>
        <w:rPr>
          <w:rFonts w:hint="default" w:ascii="Times New Roman" w:hAnsi="Times New Roman" w:eastAsia="仿宋_GB2312" w:cs="Times New Roman"/>
          <w:color w:val="auto"/>
          <w:kern w:val="44"/>
          <w:sz w:val="32"/>
          <w:szCs w:val="32"/>
          <w:highlight w:val="none"/>
          <w:lang w:val="en-US" w:eastAsia="zh-CN" w:bidi="ar-SA"/>
        </w:rPr>
        <w:t>发环境风险事故的处理能力，有效防范环境风险。</w:t>
      </w:r>
    </w:p>
    <w:p w14:paraId="43C64E4F">
      <w:pPr>
        <w:spacing w:line="600" w:lineRule="exact"/>
        <w:ind w:firstLine="640" w:firstLineChars="200"/>
        <w:textAlignment w:val="baseline"/>
        <w:rPr>
          <w:rFonts w:hint="default" w:ascii="Times New Roman" w:hAnsi="Times New Roman" w:eastAsia="仿宋_GB2312" w:cs="Times New Roman"/>
          <w:color w:val="FF0000"/>
          <w:kern w:val="44"/>
          <w:sz w:val="32"/>
          <w:szCs w:val="32"/>
          <w:highlight w:val="none"/>
          <w:lang w:val="en-US" w:eastAsia="zh-CN" w:bidi="ar-SA"/>
        </w:rPr>
      </w:pPr>
      <w:r>
        <w:rPr>
          <w:rFonts w:hint="eastAsia" w:ascii="Times New Roman" w:hAnsi="Times New Roman" w:eastAsia="仿宋_GB2312" w:cs="Times New Roman"/>
          <w:color w:val="auto"/>
          <w:kern w:val="44"/>
          <w:sz w:val="32"/>
          <w:szCs w:val="32"/>
          <w:highlight w:val="none"/>
          <w:lang w:val="en-US" w:eastAsia="zh-CN" w:bidi="ar-SA"/>
        </w:rPr>
        <w:t>三</w:t>
      </w:r>
      <w:r>
        <w:rPr>
          <w:rFonts w:hint="default" w:ascii="Times New Roman" w:hAnsi="Times New Roman" w:eastAsia="仿宋_GB2312" w:cs="Times New Roman"/>
          <w:color w:val="auto"/>
          <w:kern w:val="44"/>
          <w:sz w:val="32"/>
          <w:szCs w:val="32"/>
          <w:highlight w:val="none"/>
          <w:lang w:val="en-US" w:eastAsia="zh-CN" w:bidi="ar-SA"/>
        </w:rPr>
        <w:t>、</w:t>
      </w:r>
      <w:r>
        <w:rPr>
          <w:rFonts w:hint="eastAsia" w:eastAsia="仿宋_GB2312"/>
          <w:kern w:val="44"/>
          <w:sz w:val="32"/>
          <w:szCs w:val="32"/>
          <w:highlight w:val="none"/>
          <w:lang w:eastAsia="zh-CN"/>
        </w:rPr>
        <w:t>该项目不新增污染物总量指标。</w:t>
      </w:r>
    </w:p>
    <w:p w14:paraId="6EDE97BF">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587D0B53">
      <w:pPr>
        <w:spacing w:line="600" w:lineRule="exact"/>
        <w:ind w:firstLine="640" w:firstLineChars="200"/>
        <w:textAlignment w:val="baseline"/>
        <w:rPr>
          <w:rFonts w:eastAsia="仿宋_GB2312"/>
          <w:sz w:val="32"/>
          <w:szCs w:val="32"/>
        </w:rPr>
      </w:pPr>
      <w:r>
        <w:rPr>
          <w:rFonts w:hint="eastAsia" w:eastAsia="仿宋_GB2312"/>
          <w:sz w:val="32"/>
          <w:szCs w:val="32"/>
          <w:lang w:eastAsia="zh-CN"/>
        </w:rPr>
        <w:t>四</w:t>
      </w:r>
      <w:r>
        <w:rPr>
          <w:rFonts w:hint="eastAsia" w:eastAsia="仿宋_GB2312"/>
          <w:sz w:val="32"/>
          <w:szCs w:val="32"/>
        </w:rPr>
        <w:t>、项目应执行以下</w:t>
      </w:r>
      <w:r>
        <w:rPr>
          <w:rFonts w:hint="eastAsia" w:eastAsia="仿宋_GB2312"/>
          <w:sz w:val="32"/>
          <w:szCs w:val="32"/>
          <w:lang w:eastAsia="zh-CN"/>
        </w:rPr>
        <w:t>污染物排放</w:t>
      </w:r>
      <w:r>
        <w:rPr>
          <w:rFonts w:hint="eastAsia" w:eastAsia="仿宋_GB2312"/>
          <w:sz w:val="32"/>
          <w:szCs w:val="32"/>
        </w:rPr>
        <w:t>标准：</w:t>
      </w:r>
    </w:p>
    <w:p w14:paraId="53454B42">
      <w:pPr>
        <w:pStyle w:val="6"/>
        <w:keepNext w:val="0"/>
        <w:keepLines w:val="0"/>
        <w:widowControl/>
        <w:suppressLineNumbers w:val="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w:t>
      </w:r>
      <w:r>
        <w:rPr>
          <w:rFonts w:hint="default" w:ascii="Times New Roman" w:hAnsi="Times New Roman" w:eastAsia="仿宋_GB2312" w:cs="Times New Roman"/>
          <w:kern w:val="2"/>
          <w:sz w:val="32"/>
          <w:szCs w:val="32"/>
          <w:lang w:val="en-US" w:eastAsia="zh-CN" w:bidi="ar-SA"/>
        </w:rPr>
        <w:t>《加油站大气污染物排放标准》（</w:t>
      </w:r>
      <w:r>
        <w:rPr>
          <w:rFonts w:hint="eastAsia" w:ascii="Times New Roman" w:hAnsi="Times New Roman" w:eastAsia="仿宋_GB2312" w:cs="Times New Roman"/>
          <w:kern w:val="2"/>
          <w:sz w:val="32"/>
          <w:szCs w:val="32"/>
          <w:lang w:val="en-US" w:eastAsia="zh-CN" w:bidi="ar-SA"/>
        </w:rPr>
        <w:t>DB12/1302-2024</w:t>
      </w:r>
      <w:r>
        <w:rPr>
          <w:rFonts w:hint="default" w:ascii="Times New Roman" w:hAnsi="Times New Roman" w:eastAsia="仿宋_GB2312" w:cs="Times New Roman"/>
          <w:kern w:val="2"/>
          <w:sz w:val="32"/>
          <w:szCs w:val="32"/>
          <w:lang w:val="en-US" w:eastAsia="zh-CN" w:bidi="ar-SA"/>
        </w:rPr>
        <w:t>）；</w:t>
      </w:r>
    </w:p>
    <w:p w14:paraId="7B8097A5">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1类、</w:t>
      </w:r>
      <w:r>
        <w:rPr>
          <w:rFonts w:hint="default" w:ascii="Times New Roman" w:hAnsi="Times New Roman" w:eastAsia="仿宋_GB2312" w:cs="Times New Roman"/>
          <w:sz w:val="32"/>
          <w:szCs w:val="32"/>
        </w:rPr>
        <w:t>4类；</w:t>
      </w:r>
    </w:p>
    <w:p w14:paraId="66F4981A">
      <w:pPr>
        <w:spacing w:line="600" w:lineRule="exact"/>
        <w:ind w:firstLine="640" w:firstLineChars="200"/>
        <w:textAlignment w:val="baseline"/>
        <w:rPr>
          <w:rFonts w:hint="eastAsia" w:ascii="Times New Roman" w:hAnsi="Times New Roman" w:eastAsia="仿宋_GB2312" w:cs="Times New Roman"/>
          <w:kern w:val="2"/>
          <w:sz w:val="32"/>
          <w:szCs w:val="32"/>
          <w:lang w:val="en-US" w:eastAsia="zh-CN" w:bidi="ar-SA"/>
        </w:rPr>
      </w:pPr>
      <w:r>
        <w:rPr>
          <w:rFonts w:hint="eastAsia" w:eastAsia="仿宋_GB2312" w:cs="Times New Roman"/>
          <w:sz w:val="32"/>
          <w:szCs w:val="32"/>
          <w:lang w:val="en-US" w:eastAsia="zh-CN"/>
        </w:rPr>
        <w:t>3</w:t>
      </w:r>
      <w:r>
        <w:rPr>
          <w:rFonts w:hint="eastAsia" w:ascii="Times New Roman" w:hAnsi="Times New Roman" w:eastAsia="仿宋_GB2312" w:cs="Times New Roman"/>
          <w:kern w:val="2"/>
          <w:sz w:val="32"/>
          <w:szCs w:val="32"/>
          <w:lang w:val="en-US" w:eastAsia="zh-CN" w:bidi="ar-SA"/>
        </w:rPr>
        <w:t>.《建筑施工场界环境噪声排放标准》（GB 12523-2011）</w:t>
      </w:r>
    </w:p>
    <w:p w14:paraId="2D9C6E20">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《危险废物贮存污染控制标准》（GB18597-2023）；</w:t>
      </w:r>
    </w:p>
    <w:p w14:paraId="00E79A51">
      <w:pPr>
        <w:spacing w:line="600" w:lineRule="exact"/>
        <w:ind w:firstLine="630"/>
        <w:textAlignment w:val="baseline"/>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《危险废物收集 贮存 运输技术规范》（HJ2025-2012）</w:t>
      </w:r>
      <w:r>
        <w:rPr>
          <w:rFonts w:hint="eastAsia" w:eastAsia="仿宋_GB2312" w:cs="Times New Roman"/>
          <w:sz w:val="32"/>
          <w:szCs w:val="32"/>
          <w:lang w:eastAsia="zh-CN"/>
        </w:rPr>
        <w:t>。</w:t>
      </w:r>
    </w:p>
    <w:p w14:paraId="1FA418D8">
      <w:pPr>
        <w:spacing w:line="600" w:lineRule="exact"/>
        <w:ind w:firstLine="640" w:firstLineChars="200"/>
        <w:textAlignment w:val="baseline"/>
        <w:rPr>
          <w:rFonts w:eastAsia="仿宋_GB2312"/>
          <w:sz w:val="32"/>
          <w:szCs w:val="32"/>
        </w:rPr>
      </w:pPr>
      <w:r>
        <w:rPr>
          <w:rFonts w:hint="eastAsia" w:eastAsia="仿宋_GB2312"/>
          <w:sz w:val="32"/>
          <w:szCs w:val="32"/>
        </w:rPr>
        <w:t>此复。</w:t>
      </w:r>
    </w:p>
    <w:p w14:paraId="1BCAFDD1"/>
    <w:p w14:paraId="6F79516F">
      <w:pPr>
        <w:pStyle w:val="2"/>
      </w:pPr>
    </w:p>
    <w:p w14:paraId="5F8B5A0B"/>
    <w:p w14:paraId="672C9DAD"/>
    <w:p w14:paraId="3BC97A4D"/>
    <w:p w14:paraId="41DCDD81">
      <w:pPr>
        <w:wordWrap w:val="0"/>
        <w:spacing w:line="360" w:lineRule="auto"/>
        <w:ind w:firstLine="2800" w:firstLineChars="1000"/>
        <w:jc w:val="right"/>
        <w:rPr>
          <w:rFonts w:eastAsia="仿宋_GB2312"/>
          <w:sz w:val="32"/>
        </w:rPr>
      </w:pPr>
      <w:r>
        <w:rPr>
          <w:rFonts w:eastAsia="仿宋_GB2312"/>
          <w:sz w:val="28"/>
          <w:szCs w:val="28"/>
          <w:highlight w:val="none"/>
        </w:rPr>
        <w:t xml:space="preserve"> </w:t>
      </w:r>
      <w:r>
        <w:rPr>
          <w:rFonts w:eastAsia="仿宋_GB2312"/>
          <w:sz w:val="32"/>
          <w:szCs w:val="32"/>
          <w:highlight w:val="none"/>
        </w:rPr>
        <w:t>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color w:val="auto"/>
          <w:sz w:val="32"/>
          <w:szCs w:val="32"/>
          <w:highlight w:val="none"/>
          <w:lang w:val="en-US" w:eastAsia="zh-CN"/>
        </w:rPr>
        <w:t>5</w:t>
      </w:r>
      <w:r>
        <w:rPr>
          <w:rFonts w:eastAsia="仿宋_GB2312"/>
          <w:color w:val="auto"/>
          <w:sz w:val="32"/>
          <w:szCs w:val="32"/>
          <w:highlight w:val="none"/>
        </w:rPr>
        <w:t>月</w:t>
      </w:r>
      <w:r>
        <w:rPr>
          <w:rFonts w:hint="eastAsia" w:eastAsia="仿宋_GB2312"/>
          <w:color w:val="auto"/>
          <w:sz w:val="32"/>
          <w:szCs w:val="32"/>
          <w:highlight w:val="none"/>
          <w:lang w:val="en-US" w:eastAsia="zh-CN"/>
        </w:rPr>
        <w:t>21</w:t>
      </w:r>
      <w:r>
        <w:rPr>
          <w:rFonts w:eastAsia="仿宋_GB2312"/>
          <w:color w:val="auto"/>
          <w:sz w:val="32"/>
          <w:szCs w:val="32"/>
          <w:highlight w:val="none"/>
        </w:rPr>
        <w:t>日</w:t>
      </w:r>
      <w:r>
        <w:rPr>
          <w:rFonts w:hint="eastAsia" w:eastAsia="仿宋_GB2312"/>
          <w:sz w:val="32"/>
          <w:highlight w:val="none"/>
        </w:rPr>
        <w:t xml:space="preserve"> </w:t>
      </w:r>
      <w:r>
        <w:rPr>
          <w:rFonts w:hint="eastAsia" w:eastAsia="仿宋_GB2312"/>
          <w:sz w:val="32"/>
        </w:rPr>
        <w:t xml:space="preserve">   </w:t>
      </w:r>
    </w:p>
    <w:p w14:paraId="2B0C691A">
      <w:pPr>
        <w:keepNext w:val="0"/>
        <w:keepLines w:val="0"/>
        <w:pageBreakBefore w:val="0"/>
        <w:widowControl w:val="0"/>
        <w:kinsoku/>
        <w:wordWrap/>
        <w:overflowPunct/>
        <w:topLinePunct w:val="0"/>
        <w:autoSpaceDE/>
        <w:autoSpaceDN/>
        <w:bidi w:val="0"/>
        <w:adjustRightInd/>
        <w:snapToGrid/>
        <w:spacing w:line="420" w:lineRule="exact"/>
        <w:textAlignment w:val="auto"/>
      </w:pPr>
    </w:p>
    <w:p w14:paraId="7075214B"/>
    <w:p w14:paraId="3B1B3895"/>
    <w:p w14:paraId="265B5FAD"/>
    <w:p w14:paraId="7E85EC72"/>
    <w:p w14:paraId="0B7CA133">
      <w:pPr>
        <w:pageBreakBefore w:val="0"/>
        <w:widowControl w:val="0"/>
        <w:kinsoku/>
        <w:wordWrap/>
        <w:overflowPunct/>
        <w:topLinePunct w:val="0"/>
        <w:autoSpaceDE/>
        <w:autoSpaceDN/>
        <w:bidi w:val="0"/>
        <w:adjustRightInd/>
        <w:snapToGrid/>
        <w:spacing w:line="500" w:lineRule="exact"/>
        <w:textAlignment w:val="auto"/>
      </w:pPr>
    </w:p>
    <w:p w14:paraId="51093FEC">
      <w:pPr>
        <w:pageBreakBefore w:val="0"/>
        <w:widowControl w:val="0"/>
        <w:kinsoku/>
        <w:wordWrap/>
        <w:overflowPunct/>
        <w:topLinePunct w:val="0"/>
        <w:autoSpaceDE/>
        <w:autoSpaceDN/>
        <w:bidi w:val="0"/>
        <w:adjustRightInd/>
        <w:snapToGrid/>
        <w:spacing w:line="500" w:lineRule="exact"/>
        <w:textAlignment w:val="auto"/>
      </w:pPr>
    </w:p>
    <w:p w14:paraId="7F7C2A38">
      <w:pPr>
        <w:pageBreakBefore w:val="0"/>
        <w:widowControl w:val="0"/>
        <w:kinsoku/>
        <w:wordWrap/>
        <w:overflowPunct/>
        <w:topLinePunct w:val="0"/>
        <w:autoSpaceDE/>
        <w:autoSpaceDN/>
        <w:bidi w:val="0"/>
        <w:adjustRightInd/>
        <w:snapToGrid/>
        <w:spacing w:line="500" w:lineRule="exact"/>
        <w:textAlignment w:val="auto"/>
      </w:pPr>
    </w:p>
    <w:p w14:paraId="7896F267">
      <w:pPr>
        <w:pageBreakBefore w:val="0"/>
        <w:widowControl w:val="0"/>
        <w:kinsoku/>
        <w:wordWrap/>
        <w:overflowPunct/>
        <w:topLinePunct w:val="0"/>
        <w:autoSpaceDE/>
        <w:autoSpaceDN/>
        <w:bidi w:val="0"/>
        <w:adjustRightInd/>
        <w:snapToGrid/>
        <w:spacing w:line="500" w:lineRule="exact"/>
        <w:textAlignment w:val="auto"/>
      </w:pPr>
    </w:p>
    <w:p w14:paraId="6DA120CC">
      <w:pPr>
        <w:pageBreakBefore w:val="0"/>
        <w:widowControl w:val="0"/>
        <w:kinsoku/>
        <w:wordWrap/>
        <w:overflowPunct/>
        <w:topLinePunct w:val="0"/>
        <w:autoSpaceDE/>
        <w:autoSpaceDN/>
        <w:bidi w:val="0"/>
        <w:adjustRightInd/>
        <w:snapToGrid/>
        <w:spacing w:line="500" w:lineRule="exact"/>
        <w:textAlignment w:val="auto"/>
      </w:pPr>
    </w:p>
    <w:p w14:paraId="32B4CDA3">
      <w:pPr>
        <w:pageBreakBefore w:val="0"/>
        <w:widowControl w:val="0"/>
        <w:kinsoku/>
        <w:wordWrap/>
        <w:overflowPunct/>
        <w:topLinePunct w:val="0"/>
        <w:autoSpaceDE/>
        <w:autoSpaceDN/>
        <w:bidi w:val="0"/>
        <w:adjustRightInd/>
        <w:snapToGrid/>
        <w:spacing w:line="500" w:lineRule="exact"/>
        <w:textAlignment w:val="auto"/>
      </w:pPr>
    </w:p>
    <w:p w14:paraId="6245C5A1">
      <w:pPr>
        <w:pageBreakBefore w:val="0"/>
        <w:widowControl w:val="0"/>
        <w:kinsoku/>
        <w:wordWrap/>
        <w:overflowPunct/>
        <w:topLinePunct w:val="0"/>
        <w:autoSpaceDE/>
        <w:autoSpaceDN/>
        <w:bidi w:val="0"/>
        <w:adjustRightInd/>
        <w:snapToGrid/>
        <w:spacing w:line="500" w:lineRule="exact"/>
        <w:textAlignment w:val="auto"/>
      </w:pPr>
    </w:p>
    <w:p w14:paraId="1F67F059">
      <w:pPr>
        <w:pageBreakBefore w:val="0"/>
        <w:widowControl w:val="0"/>
        <w:kinsoku/>
        <w:wordWrap/>
        <w:overflowPunct/>
        <w:topLinePunct w:val="0"/>
        <w:autoSpaceDE/>
        <w:autoSpaceDN/>
        <w:bidi w:val="0"/>
        <w:adjustRightInd/>
        <w:snapToGrid/>
        <w:spacing w:line="500" w:lineRule="exact"/>
        <w:textAlignment w:val="auto"/>
      </w:pPr>
    </w:p>
    <w:p w14:paraId="26CCD0D5">
      <w:pPr>
        <w:pageBreakBefore w:val="0"/>
        <w:widowControl w:val="0"/>
        <w:kinsoku/>
        <w:wordWrap/>
        <w:overflowPunct/>
        <w:topLinePunct w:val="0"/>
        <w:autoSpaceDE/>
        <w:autoSpaceDN/>
        <w:bidi w:val="0"/>
        <w:adjustRightInd/>
        <w:snapToGrid/>
        <w:spacing w:line="500" w:lineRule="exact"/>
        <w:textAlignment w:val="auto"/>
      </w:pPr>
    </w:p>
    <w:p w14:paraId="21E0496E">
      <w:pPr>
        <w:pageBreakBefore w:val="0"/>
        <w:widowControl w:val="0"/>
        <w:kinsoku/>
        <w:wordWrap/>
        <w:overflowPunct/>
        <w:topLinePunct w:val="0"/>
        <w:autoSpaceDE/>
        <w:autoSpaceDN/>
        <w:bidi w:val="0"/>
        <w:adjustRightInd/>
        <w:snapToGrid/>
        <w:spacing w:line="500" w:lineRule="exact"/>
        <w:textAlignment w:val="auto"/>
      </w:pPr>
    </w:p>
    <w:p w14:paraId="2D7CB588">
      <w:pPr>
        <w:pStyle w:val="2"/>
        <w:pageBreakBefore w:val="0"/>
        <w:widowControl w:val="0"/>
        <w:kinsoku/>
        <w:wordWrap/>
        <w:overflowPunct/>
        <w:topLinePunct w:val="0"/>
        <w:autoSpaceDE/>
        <w:autoSpaceDN/>
        <w:bidi w:val="0"/>
        <w:adjustRightInd/>
        <w:snapToGrid/>
        <w:spacing w:line="500" w:lineRule="exact"/>
        <w:textAlignment w:val="auto"/>
      </w:pPr>
    </w:p>
    <w:p w14:paraId="0EBB5D10">
      <w:pPr>
        <w:keepNext w:val="0"/>
        <w:keepLines w:val="0"/>
        <w:pageBreakBefore w:val="0"/>
        <w:widowControl w:val="0"/>
        <w:kinsoku/>
        <w:wordWrap/>
        <w:overflowPunct/>
        <w:topLinePunct w:val="0"/>
        <w:autoSpaceDE/>
        <w:autoSpaceDN/>
        <w:bidi w:val="0"/>
        <w:adjustRightInd/>
        <w:snapToGrid/>
        <w:spacing w:line="500" w:lineRule="exact"/>
        <w:textAlignment w:val="auto"/>
      </w:pPr>
    </w:p>
    <w:p w14:paraId="1A1C75C6">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1EED6BBC">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128E63ED">
            <w:pPr>
              <w:spacing w:line="680" w:lineRule="exact"/>
              <w:ind w:right="160"/>
              <w:rPr>
                <w:sz w:val="32"/>
              </w:rPr>
            </w:pPr>
            <w:r>
              <w:rPr>
                <w:rFonts w:eastAsia="仿宋_GB2312"/>
                <w:sz w:val="28"/>
                <w:szCs w:val="28"/>
              </w:rPr>
              <w:t>抄  送：天津市滨海新区生态环境局</w:t>
            </w:r>
          </w:p>
        </w:tc>
      </w:tr>
    </w:tbl>
    <w:p w14:paraId="27689020">
      <w:pPr>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eastAsia="仿宋_GB2312"/>
          <w:sz w:val="28"/>
          <w:szCs w:val="28"/>
          <w:highlight w:val="none"/>
        </w:rPr>
        <w:t xml:space="preserve"> </w:t>
      </w:r>
      <w:r>
        <w:rPr>
          <w:rFonts w:hint="eastAsia" w:eastAsia="仿宋_GB2312"/>
          <w:sz w:val="28"/>
          <w:szCs w:val="28"/>
          <w:highlight w:val="none"/>
        </w:rPr>
        <w:t xml:space="preserve"> </w:t>
      </w:r>
      <w:r>
        <w:rPr>
          <w:rFonts w:eastAsia="仿宋_GB2312"/>
          <w:sz w:val="28"/>
          <w:szCs w:val="28"/>
          <w:highlight w:val="none"/>
        </w:rPr>
        <w:t>20</w:t>
      </w:r>
      <w:r>
        <w:rPr>
          <w:rFonts w:hint="eastAsia" w:eastAsia="仿宋_GB2312"/>
          <w:sz w:val="28"/>
          <w:szCs w:val="28"/>
          <w:highlight w:val="none"/>
        </w:rPr>
        <w:t>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color w:val="auto"/>
          <w:sz w:val="28"/>
          <w:szCs w:val="28"/>
          <w:highlight w:val="none"/>
          <w:lang w:val="en-US" w:eastAsia="zh-CN"/>
        </w:rPr>
        <w:t>5</w:t>
      </w:r>
      <w:r>
        <w:rPr>
          <w:rFonts w:eastAsia="仿宋_GB2312"/>
          <w:color w:val="auto"/>
          <w:sz w:val="28"/>
          <w:szCs w:val="28"/>
          <w:highlight w:val="none"/>
        </w:rPr>
        <w:t>月</w:t>
      </w:r>
      <w:r>
        <w:rPr>
          <w:rFonts w:hint="eastAsia" w:eastAsia="仿宋_GB2312"/>
          <w:color w:val="auto"/>
          <w:sz w:val="28"/>
          <w:szCs w:val="28"/>
          <w:highlight w:val="none"/>
          <w:lang w:val="en-US" w:eastAsia="zh-CN"/>
        </w:rPr>
        <w:t>21</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8146">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704C">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47704C">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941C">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5052BADD">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AFB41"/>
    <w:multiLevelType w:val="singleLevel"/>
    <w:tmpl w:val="A5DAFB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7FBDDE7"/>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6FABF4E"/>
    <w:rsid w:val="17977B39"/>
    <w:rsid w:val="17B46048"/>
    <w:rsid w:val="180E7B33"/>
    <w:rsid w:val="184D3DB0"/>
    <w:rsid w:val="19531778"/>
    <w:rsid w:val="19827E91"/>
    <w:rsid w:val="19B95B36"/>
    <w:rsid w:val="19C23FA1"/>
    <w:rsid w:val="1BD1643B"/>
    <w:rsid w:val="1BED3202"/>
    <w:rsid w:val="1C612601"/>
    <w:rsid w:val="1D992813"/>
    <w:rsid w:val="1DBFAC75"/>
    <w:rsid w:val="1E742A13"/>
    <w:rsid w:val="1E775E2D"/>
    <w:rsid w:val="1E8563FC"/>
    <w:rsid w:val="1E860E96"/>
    <w:rsid w:val="1E9B3A39"/>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E1467AD"/>
    <w:rsid w:val="2E727497"/>
    <w:rsid w:val="2FC339E9"/>
    <w:rsid w:val="31140AC3"/>
    <w:rsid w:val="31C439B0"/>
    <w:rsid w:val="31D3618D"/>
    <w:rsid w:val="31E47D3B"/>
    <w:rsid w:val="330A7AD7"/>
    <w:rsid w:val="33119F1F"/>
    <w:rsid w:val="33517ECA"/>
    <w:rsid w:val="33937C59"/>
    <w:rsid w:val="33A52EB7"/>
    <w:rsid w:val="33CC3E98"/>
    <w:rsid w:val="34D7709C"/>
    <w:rsid w:val="34DD613F"/>
    <w:rsid w:val="3536679E"/>
    <w:rsid w:val="35C93186"/>
    <w:rsid w:val="35E72168"/>
    <w:rsid w:val="3678062E"/>
    <w:rsid w:val="37232DB8"/>
    <w:rsid w:val="37FD68A6"/>
    <w:rsid w:val="37FDC5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AA75AE"/>
    <w:rsid w:val="419A35AC"/>
    <w:rsid w:val="41BA15F9"/>
    <w:rsid w:val="420A2FF8"/>
    <w:rsid w:val="42195A6A"/>
    <w:rsid w:val="423E4456"/>
    <w:rsid w:val="42A67AF8"/>
    <w:rsid w:val="4385580B"/>
    <w:rsid w:val="43AE49AE"/>
    <w:rsid w:val="44F21C4B"/>
    <w:rsid w:val="44FC5D7B"/>
    <w:rsid w:val="45145E37"/>
    <w:rsid w:val="45AD6951"/>
    <w:rsid w:val="463C00DC"/>
    <w:rsid w:val="47221287"/>
    <w:rsid w:val="47845592"/>
    <w:rsid w:val="485477BF"/>
    <w:rsid w:val="485D46A3"/>
    <w:rsid w:val="48B431C7"/>
    <w:rsid w:val="48F5769F"/>
    <w:rsid w:val="49D52D43"/>
    <w:rsid w:val="4A13595D"/>
    <w:rsid w:val="4A896855"/>
    <w:rsid w:val="4AE83298"/>
    <w:rsid w:val="4B106CD2"/>
    <w:rsid w:val="4C895B69"/>
    <w:rsid w:val="4D7A256B"/>
    <w:rsid w:val="4DB57591"/>
    <w:rsid w:val="4DFC4C35"/>
    <w:rsid w:val="4EA51583"/>
    <w:rsid w:val="4EC560FD"/>
    <w:rsid w:val="4F016F2E"/>
    <w:rsid w:val="4F9E2FE4"/>
    <w:rsid w:val="4FBFBB5D"/>
    <w:rsid w:val="502925FF"/>
    <w:rsid w:val="50C54397"/>
    <w:rsid w:val="50D413E4"/>
    <w:rsid w:val="517F3AB5"/>
    <w:rsid w:val="51872AF4"/>
    <w:rsid w:val="51A96376"/>
    <w:rsid w:val="51F37B94"/>
    <w:rsid w:val="51FF48CF"/>
    <w:rsid w:val="521C6CB5"/>
    <w:rsid w:val="5261193E"/>
    <w:rsid w:val="52B31C66"/>
    <w:rsid w:val="53333171"/>
    <w:rsid w:val="53334AA9"/>
    <w:rsid w:val="537F0991"/>
    <w:rsid w:val="541A70D3"/>
    <w:rsid w:val="55072BCC"/>
    <w:rsid w:val="55F466BA"/>
    <w:rsid w:val="56266096"/>
    <w:rsid w:val="562D4626"/>
    <w:rsid w:val="56F00E14"/>
    <w:rsid w:val="5733590C"/>
    <w:rsid w:val="5750757E"/>
    <w:rsid w:val="581A10A7"/>
    <w:rsid w:val="58402715"/>
    <w:rsid w:val="59465D4C"/>
    <w:rsid w:val="59A10B54"/>
    <w:rsid w:val="5A9211A0"/>
    <w:rsid w:val="5B4F1F6C"/>
    <w:rsid w:val="5BF87ACE"/>
    <w:rsid w:val="5CE11D93"/>
    <w:rsid w:val="5D1A2FE5"/>
    <w:rsid w:val="5DB84FA9"/>
    <w:rsid w:val="5E0A1E6D"/>
    <w:rsid w:val="5E2A6CFE"/>
    <w:rsid w:val="5EE5A1E3"/>
    <w:rsid w:val="5F9A6485"/>
    <w:rsid w:val="5FFF4964"/>
    <w:rsid w:val="5FFFAB31"/>
    <w:rsid w:val="60180D6C"/>
    <w:rsid w:val="619F7DE0"/>
    <w:rsid w:val="61F11BB7"/>
    <w:rsid w:val="628A6975"/>
    <w:rsid w:val="62B960D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BF3EDB7"/>
    <w:rsid w:val="6CBE07C5"/>
    <w:rsid w:val="6CE124F8"/>
    <w:rsid w:val="6F2605FE"/>
    <w:rsid w:val="6F2C4A70"/>
    <w:rsid w:val="6F4020DE"/>
    <w:rsid w:val="6FF3011B"/>
    <w:rsid w:val="706E47D2"/>
    <w:rsid w:val="71B60E95"/>
    <w:rsid w:val="71F065BA"/>
    <w:rsid w:val="729829D6"/>
    <w:rsid w:val="73067FA2"/>
    <w:rsid w:val="734D635D"/>
    <w:rsid w:val="735D2B55"/>
    <w:rsid w:val="735D6A13"/>
    <w:rsid w:val="73935D89"/>
    <w:rsid w:val="73C20023"/>
    <w:rsid w:val="73C90575"/>
    <w:rsid w:val="73D5450F"/>
    <w:rsid w:val="74235FBB"/>
    <w:rsid w:val="7458541A"/>
    <w:rsid w:val="7479752E"/>
    <w:rsid w:val="75C173E7"/>
    <w:rsid w:val="75CB2826"/>
    <w:rsid w:val="75F63195"/>
    <w:rsid w:val="76A77C9C"/>
    <w:rsid w:val="76D4578A"/>
    <w:rsid w:val="770574A0"/>
    <w:rsid w:val="777F409A"/>
    <w:rsid w:val="77ACA5CC"/>
    <w:rsid w:val="78241FCC"/>
    <w:rsid w:val="787E122A"/>
    <w:rsid w:val="78B56081"/>
    <w:rsid w:val="79203CBF"/>
    <w:rsid w:val="79E5F868"/>
    <w:rsid w:val="7A134250"/>
    <w:rsid w:val="7A4D29BF"/>
    <w:rsid w:val="7C4F638F"/>
    <w:rsid w:val="7D123060"/>
    <w:rsid w:val="7DFA9B5B"/>
    <w:rsid w:val="7E6C59D9"/>
    <w:rsid w:val="7E9436AD"/>
    <w:rsid w:val="7E9E2829"/>
    <w:rsid w:val="7ED05283"/>
    <w:rsid w:val="7FD231E4"/>
    <w:rsid w:val="7FE03991"/>
    <w:rsid w:val="7FFEB4A9"/>
    <w:rsid w:val="8ADA1523"/>
    <w:rsid w:val="97FF6120"/>
    <w:rsid w:val="9FA3A381"/>
    <w:rsid w:val="B8EDB323"/>
    <w:rsid w:val="BBE7971D"/>
    <w:rsid w:val="D1E7F45D"/>
    <w:rsid w:val="D79F2CC6"/>
    <w:rsid w:val="D79F84D6"/>
    <w:rsid w:val="DE3EE7A5"/>
    <w:rsid w:val="E9FB3BD5"/>
    <w:rsid w:val="ED576D9C"/>
    <w:rsid w:val="FB6D5D3D"/>
    <w:rsid w:val="FD7FD7DF"/>
    <w:rsid w:val="FDFE8796"/>
    <w:rsid w:val="FE6FDE2D"/>
    <w:rsid w:val="FE7EF088"/>
    <w:rsid w:val="FEB9A203"/>
    <w:rsid w:val="FEFDD7FE"/>
    <w:rsid w:val="FEFE101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1472</Words>
  <Characters>1585</Characters>
  <Lines>12</Lines>
  <Paragraphs>3</Paragraphs>
  <TotalTime>0</TotalTime>
  <ScaleCrop>false</ScaleCrop>
  <LinksUpToDate>false</LinksUpToDate>
  <CharactersWithSpaces>1648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2014-05-25T17:22:00Z</dcterms:created>
  <dc:creator>张明蕾</dc:creator>
  <cp:lastModifiedBy>dell</cp:lastModifiedBy>
  <cp:lastPrinted>2025-05-08T06:21:00Z</cp:lastPrinted>
  <dcterms:modified xsi:type="dcterms:W3CDTF">2025-05-23T05:59:23Z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2450D054BD7E4E388CB8E78A7E780DE3_13</vt:lpwstr>
  </property>
  <property fmtid="{D5CDD505-2E9C-101B-9397-08002B2CF9AE}" pid="4" name="KSOTemplateDocerSaveRecord">
    <vt:lpwstr>eyJoZGlkIjoiMWNhZDJlMzAwZTE0OTRjMTQ5OTJjY2ZiMzRkMmYxNjUiLCJ1c2VySWQiOiI1MTk5NDE2ODYifQ==</vt:lpwstr>
  </property>
</Properties>
</file>