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BB603">
      <w:pPr>
        <w:spacing w:line="360" w:lineRule="auto"/>
        <w:jc w:val="center"/>
        <w:rPr>
          <w:rFonts w:hint="default" w:ascii="Times New Roman" w:hAnsi="Times New Roman" w:cs="Times New Roman"/>
        </w:rPr>
      </w:pPr>
    </w:p>
    <w:p w14:paraId="302BCB1D">
      <w:pPr>
        <w:spacing w:line="360" w:lineRule="auto"/>
        <w:jc w:val="center"/>
        <w:rPr>
          <w:rFonts w:hint="default" w:ascii="Times New Roman" w:hAnsi="Times New Roman" w:cs="Times New Roman"/>
        </w:rPr>
      </w:pPr>
    </w:p>
    <w:p w14:paraId="0E2C04FC">
      <w:pPr>
        <w:spacing w:line="360" w:lineRule="auto"/>
        <w:jc w:val="center"/>
        <w:rPr>
          <w:rFonts w:hint="default" w:ascii="Times New Roman" w:hAnsi="Times New Roman" w:cs="Times New Roman"/>
        </w:rPr>
      </w:pPr>
    </w:p>
    <w:p w14:paraId="17829B66">
      <w:pPr>
        <w:spacing w:line="360" w:lineRule="auto"/>
        <w:jc w:val="center"/>
        <w:rPr>
          <w:rFonts w:hint="default" w:ascii="Times New Roman" w:hAnsi="Times New Roman" w:eastAsia="仿宋_GB2312" w:cs="Times New Roman"/>
          <w:sz w:val="32"/>
          <w:szCs w:val="32"/>
        </w:rPr>
      </w:pPr>
    </w:p>
    <w:p w14:paraId="53FC3A21">
      <w:pPr>
        <w:jc w:val="center"/>
        <w:rPr>
          <w:rFonts w:hint="default" w:ascii="Times New Roman" w:hAnsi="Times New Roman" w:eastAsia="仿宋_GB2312" w:cs="Times New Roman"/>
          <w:sz w:val="32"/>
          <w:szCs w:val="32"/>
        </w:rPr>
      </w:pPr>
    </w:p>
    <w:p w14:paraId="704F1C8B">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140</w:t>
      </w:r>
      <w:r>
        <w:rPr>
          <w:rFonts w:hint="default" w:ascii="Times New Roman" w:hAnsi="Times New Roman" w:eastAsia="仿宋_GB2312" w:cs="Times New Roman"/>
          <w:sz w:val="32"/>
          <w:szCs w:val="32"/>
        </w:rPr>
        <w:t>号</w:t>
      </w:r>
      <w:bookmarkStart w:id="0" w:name="_GoBack"/>
      <w:bookmarkEnd w:id="0"/>
    </w:p>
    <w:p w14:paraId="22545ED4">
      <w:pPr>
        <w:pStyle w:val="15"/>
        <w:spacing w:line="580" w:lineRule="exact"/>
        <w:jc w:val="center"/>
        <w:rPr>
          <w:rFonts w:hint="default" w:ascii="Times New Roman" w:hAnsi="Times New Roman" w:eastAsia="方正小标宋简体" w:cs="Times New Roman"/>
          <w:color w:val="000000"/>
          <w:sz w:val="15"/>
          <w:szCs w:val="15"/>
        </w:rPr>
      </w:pPr>
    </w:p>
    <w:p w14:paraId="2A411675">
      <w:pPr>
        <w:pStyle w:val="15"/>
        <w:spacing w:line="580" w:lineRule="exact"/>
        <w:jc w:val="center"/>
        <w:rPr>
          <w:rFonts w:hint="eastAsia"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关于</w:t>
      </w:r>
      <w:r>
        <w:rPr>
          <w:rFonts w:hint="eastAsia" w:eastAsia="方正小标宋简体" w:cs="Times New Roman"/>
          <w:color w:val="000000"/>
          <w:sz w:val="44"/>
          <w:lang w:eastAsia="zh-CN"/>
        </w:rPr>
        <w:t>中国石油天然气股份有限公司大港石化</w:t>
      </w:r>
    </w:p>
    <w:p w14:paraId="3F5DE865">
      <w:pPr>
        <w:pStyle w:val="15"/>
        <w:spacing w:line="580" w:lineRule="exact"/>
        <w:jc w:val="center"/>
        <w:rPr>
          <w:rFonts w:hint="eastAsia" w:eastAsia="方正小标宋简体" w:cs="Times New Roman"/>
          <w:color w:val="000000"/>
          <w:sz w:val="44"/>
          <w:lang w:eastAsia="zh-CN"/>
        </w:rPr>
      </w:pPr>
      <w:r>
        <w:rPr>
          <w:rFonts w:hint="eastAsia" w:eastAsia="方正小标宋简体" w:cs="Times New Roman"/>
          <w:color w:val="000000"/>
          <w:sz w:val="44"/>
          <w:lang w:eastAsia="zh-CN"/>
        </w:rPr>
        <w:t>分公司航煤产品铁路外输配套设施改造</w:t>
      </w:r>
    </w:p>
    <w:p w14:paraId="65B8E25B">
      <w:pPr>
        <w:pStyle w:val="15"/>
        <w:spacing w:line="580" w:lineRule="exact"/>
        <w:jc w:val="center"/>
        <w:rPr>
          <w:rFonts w:hint="default" w:ascii="Times New Roman" w:hAnsi="Times New Roman" w:eastAsia="方正小标宋简体" w:cs="Times New Roman"/>
          <w:color w:val="000000"/>
          <w:sz w:val="44"/>
          <w:lang w:eastAsia="zh-CN"/>
        </w:rPr>
      </w:pPr>
      <w:r>
        <w:rPr>
          <w:rFonts w:hint="eastAsia" w:eastAsia="方正小标宋简体" w:cs="Times New Roman"/>
          <w:color w:val="000000"/>
          <w:sz w:val="44"/>
          <w:lang w:eastAsia="zh-CN"/>
        </w:rPr>
        <w:t>项目环境影响报告表</w:t>
      </w:r>
      <w:r>
        <w:rPr>
          <w:rFonts w:hint="default" w:ascii="Times New Roman" w:hAnsi="Times New Roman" w:eastAsia="方正小标宋简体" w:cs="Times New Roman"/>
          <w:color w:val="000000"/>
          <w:sz w:val="44"/>
          <w:lang w:eastAsia="zh-CN"/>
        </w:rPr>
        <w:t>的批复</w:t>
      </w:r>
    </w:p>
    <w:p w14:paraId="0345391E">
      <w:pPr>
        <w:spacing w:line="0" w:lineRule="atLeast"/>
        <w:jc w:val="center"/>
        <w:rPr>
          <w:rFonts w:hint="default" w:ascii="Times New Roman" w:hAnsi="Times New Roman" w:cs="Times New Roman"/>
          <w:b/>
          <w:color w:val="000000"/>
          <w:sz w:val="44"/>
        </w:rPr>
      </w:pPr>
    </w:p>
    <w:p w14:paraId="0289DBE9">
      <w:pPr>
        <w:keepNext w:val="0"/>
        <w:keepLines w:val="0"/>
        <w:pageBreakBefore w:val="0"/>
        <w:widowControl w:val="0"/>
        <w:kinsoku/>
        <w:wordWrap/>
        <w:overflowPunct/>
        <w:topLinePunct w:val="0"/>
        <w:autoSpaceDE/>
        <w:autoSpaceDN/>
        <w:bidi w:val="0"/>
        <w:adjustRightInd/>
        <w:snapToGrid/>
        <w:spacing w:line="640" w:lineRule="exact"/>
        <w:textAlignment w:val="baseline"/>
        <w:outlineLvl w:val="9"/>
        <w:rPr>
          <w:rFonts w:hint="default" w:ascii="Times New Roman" w:hAnsi="Times New Roman" w:eastAsia="仿宋_GB2312" w:cs="Times New Roman"/>
          <w:sz w:val="32"/>
          <w:szCs w:val="32"/>
        </w:rPr>
      </w:pPr>
      <w:r>
        <w:rPr>
          <w:rFonts w:hint="eastAsia" w:eastAsia="仿宋_GB2312"/>
          <w:bCs/>
          <w:kern w:val="2"/>
          <w:sz w:val="32"/>
          <w:szCs w:val="32"/>
        </w:rPr>
        <w:t>中国石油天然气股份有限公司大港石化分公司</w:t>
      </w:r>
      <w:r>
        <w:rPr>
          <w:rFonts w:hint="default" w:ascii="Times New Roman" w:hAnsi="Times New Roman" w:eastAsia="仿宋_GB2312" w:cs="Times New Roman"/>
          <w:sz w:val="32"/>
          <w:szCs w:val="32"/>
        </w:rPr>
        <w:t>：</w:t>
      </w:r>
    </w:p>
    <w:p w14:paraId="21CDCE4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w:t>
      </w:r>
      <w:r>
        <w:rPr>
          <w:rFonts w:hint="default" w:ascii="Times New Roman" w:hAnsi="Times New Roman" w:eastAsia="仿宋_GB2312" w:cs="Times New Roman"/>
          <w:sz w:val="32"/>
          <w:szCs w:val="32"/>
          <w:highlight w:val="none"/>
        </w:rPr>
        <w:t>报的</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关于报批中国石油天然气股份有限公司大港石化分公司航煤产品铁路外输配套设施改造项目环境影响报告表</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请示</w:t>
      </w:r>
      <w:r>
        <w:rPr>
          <w:rFonts w:hint="default" w:ascii="Times New Roman" w:hAnsi="Times New Roman" w:eastAsia="仿宋_GB2312" w:cs="Times New Roman"/>
          <w:sz w:val="32"/>
          <w:szCs w:val="32"/>
          <w:highlight w:val="none"/>
          <w:lang w:eastAsia="zh-CN"/>
        </w:rPr>
        <w:t>》和</w:t>
      </w:r>
      <w:r>
        <w:rPr>
          <w:rFonts w:hint="eastAsia" w:eastAsia="仿宋_GB2312" w:cs="Times New Roman"/>
          <w:sz w:val="32"/>
          <w:szCs w:val="32"/>
          <w:highlight w:val="none"/>
          <w:lang w:eastAsia="zh-CN"/>
        </w:rPr>
        <w:t>天</w:t>
      </w:r>
      <w:r>
        <w:rPr>
          <w:rFonts w:hint="eastAsia" w:eastAsia="仿宋_GB2312" w:cs="Times New Roman"/>
          <w:sz w:val="32"/>
          <w:szCs w:val="32"/>
          <w:lang w:eastAsia="zh-CN"/>
        </w:rPr>
        <w:t>津潮生环保科技有限公司</w:t>
      </w:r>
      <w:r>
        <w:rPr>
          <w:rFonts w:hint="eastAsia" w:eastAsia="仿宋_GB2312" w:cs="Times New Roman"/>
          <w:sz w:val="32"/>
          <w:szCs w:val="32"/>
          <w:lang w:val="en-US" w:eastAsia="zh-CN"/>
        </w:rPr>
        <w:t>编制的</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中国石油天然气股份有限公司大港石化分公司航煤产品铁路外输配套设施改造项目环境影响报告表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lang w:eastAsia="zh-CN"/>
        </w:rPr>
        <w:t>收悉。经我局研究，批复如下：</w:t>
      </w:r>
    </w:p>
    <w:p w14:paraId="43154D7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bCs/>
          <w:color w:val="0000FF"/>
          <w:sz w:val="32"/>
          <w:szCs w:val="32"/>
          <w:lang w:val="en-US" w:eastAsia="zh-CN"/>
        </w:rPr>
      </w:pPr>
      <w:r>
        <w:rPr>
          <w:rFonts w:hint="eastAsia" w:eastAsia="仿宋_GB2312"/>
          <w:bCs/>
          <w:color w:val="auto"/>
          <w:sz w:val="32"/>
          <w:szCs w:val="32"/>
          <w:lang w:val="en-US" w:eastAsia="zh-CN"/>
        </w:rPr>
        <w:t>一、</w:t>
      </w:r>
      <w:r>
        <w:rPr>
          <w:rFonts w:hint="eastAsia" w:eastAsia="仿宋_GB2312"/>
          <w:bCs/>
          <w:color w:val="auto"/>
          <w:sz w:val="32"/>
          <w:szCs w:val="32"/>
        </w:rPr>
        <w:t>为拓宽</w:t>
      </w:r>
      <w:r>
        <w:rPr>
          <w:rFonts w:hint="eastAsia" w:eastAsia="仿宋_GB2312"/>
          <w:bCs/>
          <w:color w:val="auto"/>
          <w:sz w:val="32"/>
          <w:szCs w:val="32"/>
          <w:lang w:val="en-US" w:eastAsia="zh-CN"/>
        </w:rPr>
        <w:t>本厂生产的航空煤油</w:t>
      </w:r>
      <w:r>
        <w:rPr>
          <w:rFonts w:hint="eastAsia" w:eastAsia="仿宋_GB2312"/>
          <w:bCs/>
          <w:color w:val="auto"/>
          <w:sz w:val="32"/>
          <w:szCs w:val="32"/>
        </w:rPr>
        <w:t>的外销途径，</w:t>
      </w:r>
      <w:r>
        <w:rPr>
          <w:rFonts w:hint="eastAsia" w:eastAsia="仿宋_GB2312"/>
          <w:bCs/>
          <w:color w:val="auto"/>
          <w:sz w:val="32"/>
          <w:szCs w:val="32"/>
          <w:lang w:val="en-US" w:eastAsia="zh-CN"/>
        </w:rPr>
        <w:t>你</w:t>
      </w:r>
      <w:r>
        <w:rPr>
          <w:rFonts w:hint="eastAsia" w:eastAsia="仿宋_GB2312"/>
          <w:bCs/>
          <w:color w:val="auto"/>
          <w:sz w:val="32"/>
          <w:szCs w:val="32"/>
        </w:rPr>
        <w:t>公司拟</w:t>
      </w:r>
      <w:r>
        <w:rPr>
          <w:rFonts w:hint="eastAsia" w:eastAsia="仿宋_GB2312"/>
          <w:bCs/>
          <w:color w:val="auto"/>
          <w:sz w:val="32"/>
          <w:szCs w:val="32"/>
          <w:lang w:val="en-US" w:eastAsia="zh-CN"/>
        </w:rPr>
        <w:t>建设</w:t>
      </w:r>
      <w:r>
        <w:rPr>
          <w:rFonts w:hint="eastAsia" w:eastAsia="仿宋_GB2312" w:cs="Times New Roman"/>
          <w:sz w:val="32"/>
          <w:szCs w:val="32"/>
          <w:lang w:eastAsia="zh-CN"/>
        </w:rPr>
        <w:t>航煤产品铁路外输配套设施改造项目，</w:t>
      </w:r>
      <w:r>
        <w:rPr>
          <w:rFonts w:hint="eastAsia" w:eastAsia="仿宋_GB2312"/>
          <w:bCs/>
          <w:color w:val="auto"/>
          <w:sz w:val="32"/>
          <w:szCs w:val="32"/>
          <w:lang w:val="en-US" w:eastAsia="zh-CN"/>
        </w:rPr>
        <w:t>通过既有的一根闲置管道将航煤由</w:t>
      </w:r>
      <w:r>
        <w:rPr>
          <w:rFonts w:hint="eastAsia" w:eastAsia="仿宋_GB2312"/>
          <w:bCs/>
          <w:color w:val="auto"/>
          <w:sz w:val="32"/>
          <w:szCs w:val="32"/>
          <w:lang w:eastAsia="zh-CN"/>
        </w:rPr>
        <w:t>生产</w:t>
      </w:r>
      <w:r>
        <w:rPr>
          <w:rFonts w:hint="eastAsia" w:eastAsia="仿宋_GB2312"/>
          <w:bCs/>
          <w:color w:val="auto"/>
          <w:sz w:val="32"/>
          <w:szCs w:val="32"/>
        </w:rPr>
        <w:t>厂区</w:t>
      </w:r>
      <w:r>
        <w:rPr>
          <w:rFonts w:hint="eastAsia" w:eastAsia="仿宋_GB2312"/>
          <w:bCs/>
          <w:color w:val="auto"/>
          <w:sz w:val="32"/>
          <w:szCs w:val="32"/>
          <w:lang w:val="en-US" w:eastAsia="zh-CN"/>
        </w:rPr>
        <w:t>输送</w:t>
      </w:r>
      <w:r>
        <w:rPr>
          <w:rFonts w:hint="eastAsia" w:eastAsia="仿宋_GB2312"/>
          <w:bCs/>
          <w:color w:val="auto"/>
          <w:sz w:val="32"/>
          <w:szCs w:val="32"/>
        </w:rPr>
        <w:t>至千米桥油库储存并进行火车装车</w:t>
      </w:r>
      <w:r>
        <w:rPr>
          <w:rFonts w:hint="eastAsia" w:eastAsia="仿宋_GB2312"/>
          <w:bCs/>
          <w:color w:val="auto"/>
          <w:sz w:val="32"/>
          <w:szCs w:val="32"/>
          <w:lang w:val="en-US" w:eastAsia="zh-CN"/>
        </w:rPr>
        <w:t>外运</w:t>
      </w:r>
      <w:r>
        <w:rPr>
          <w:rFonts w:hint="eastAsia" w:eastAsia="仿宋_GB2312"/>
          <w:bCs/>
          <w:color w:val="auto"/>
          <w:sz w:val="32"/>
          <w:szCs w:val="32"/>
        </w:rPr>
        <w:t>。</w:t>
      </w:r>
      <w:r>
        <w:rPr>
          <w:rFonts w:hint="eastAsia" w:eastAsia="仿宋_GB2312"/>
          <w:bCs/>
          <w:color w:val="auto"/>
          <w:sz w:val="32"/>
          <w:szCs w:val="32"/>
          <w:lang w:val="en-US" w:eastAsia="zh-CN"/>
        </w:rPr>
        <w:t>项目的主要建设内容为：将千米桥油库内现有的一座5000立方米固定顶储罐改造为内浮顶储罐，用于储存航空煤油；将现有的一座5000立方米固定顶储罐改造为回用水罐，用于暂存污水处理设施处理后的回用水；新增库区航煤储运流程，并在库区洗车位增加两套高压洗槽机、烘干设施和牵引设备，用于清洗油罐车；对现有生活污水处理系统进行改造，以用于处理库区全部废水。项目实施后，千米桥油库的总库容维持10.2万立方米不变，储运货种变为汽油、柴油、航空煤油，库区总周转量维持118万吨不变。</w:t>
      </w:r>
      <w:r>
        <w:rPr>
          <w:rFonts w:hint="eastAsia" w:ascii="Times New Roman" w:hAnsi="Times New Roman" w:eastAsia="仿宋_GB2312" w:cs="Times New Roman"/>
          <w:color w:val="auto"/>
          <w:sz w:val="32"/>
          <w:szCs w:val="32"/>
          <w:lang w:val="en-US" w:eastAsia="zh-CN"/>
        </w:rPr>
        <w:t>项目总投资</w:t>
      </w:r>
      <w:r>
        <w:rPr>
          <w:rFonts w:hint="eastAsia" w:eastAsia="仿宋_GB2312"/>
          <w:bCs/>
          <w:kern w:val="2"/>
          <w:sz w:val="32"/>
          <w:szCs w:val="32"/>
          <w:lang w:val="en-US" w:eastAsia="zh-CN"/>
        </w:rPr>
        <w:t>1888</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环保投资</w:t>
      </w:r>
      <w:r>
        <w:rPr>
          <w:rFonts w:hint="eastAsia" w:eastAsia="仿宋_GB2312"/>
          <w:bCs/>
          <w:sz w:val="32"/>
          <w:szCs w:val="32"/>
          <w:lang w:val="en-US" w:eastAsia="zh-CN"/>
        </w:rPr>
        <w:t>224</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约占总投资的</w:t>
      </w:r>
      <w:r>
        <w:rPr>
          <w:rFonts w:hint="eastAsia" w:eastAsia="仿宋_GB2312" w:cs="Times New Roman"/>
          <w:color w:val="auto"/>
          <w:sz w:val="32"/>
          <w:szCs w:val="32"/>
          <w:lang w:val="en-US" w:eastAsia="zh-CN"/>
        </w:rPr>
        <w:t>11.86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3748A48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日至</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日，我</w:t>
      </w:r>
      <w:r>
        <w:rPr>
          <w:rFonts w:hint="default" w:ascii="Times New Roman" w:hAnsi="Times New Roman" w:eastAsia="仿宋_GB2312" w:cs="Times New Roman"/>
          <w:sz w:val="32"/>
          <w:szCs w:val="32"/>
          <w:lang w:eastAsia="zh-CN"/>
        </w:rPr>
        <w:t>局将该项目环评报告的受理情况进行了公</w:t>
      </w:r>
      <w:r>
        <w:rPr>
          <w:rFonts w:hint="default" w:ascii="Times New Roman" w:hAnsi="Times New Roman" w:eastAsia="仿宋_GB2312" w:cs="Times New Roman"/>
          <w:sz w:val="32"/>
          <w:szCs w:val="32"/>
          <w:lang w:val="en-US" w:eastAsia="zh-CN"/>
        </w:rPr>
        <w:t>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4</w:t>
      </w:r>
      <w:r>
        <w:rPr>
          <w:rFonts w:hint="eastAsia" w:eastAsia="仿宋_GB2312"/>
          <w:color w:val="auto"/>
          <w:sz w:val="32"/>
          <w:szCs w:val="32"/>
          <w:highlight w:val="none"/>
          <w:lang w:eastAsia="zh-CN"/>
        </w:rPr>
        <w:t>月</w:t>
      </w:r>
      <w:r>
        <w:rPr>
          <w:rFonts w:hint="eastAsia" w:eastAsia="仿宋_GB2312"/>
          <w:color w:val="auto"/>
          <w:sz w:val="32"/>
          <w:szCs w:val="32"/>
          <w:highlight w:val="none"/>
          <w:lang w:val="en-US" w:eastAsia="zh-CN"/>
        </w:rPr>
        <w:t>23</w:t>
      </w:r>
      <w:r>
        <w:rPr>
          <w:rFonts w:hint="eastAsia" w:eastAsia="仿宋_GB2312"/>
          <w:color w:val="auto"/>
          <w:sz w:val="32"/>
          <w:szCs w:val="32"/>
          <w:highlight w:val="none"/>
          <w:lang w:eastAsia="zh-CN"/>
        </w:rPr>
        <w:t>日至</w:t>
      </w:r>
      <w:r>
        <w:rPr>
          <w:rFonts w:hint="eastAsia" w:eastAsia="仿宋_GB2312"/>
          <w:color w:val="auto"/>
          <w:sz w:val="32"/>
          <w:szCs w:val="32"/>
          <w:highlight w:val="none"/>
          <w:lang w:val="en-US" w:eastAsia="zh-CN"/>
        </w:rPr>
        <w:t>4</w:t>
      </w:r>
      <w:r>
        <w:rPr>
          <w:rFonts w:hint="eastAsia" w:eastAsia="仿宋_GB2312"/>
          <w:color w:val="auto"/>
          <w:sz w:val="32"/>
          <w:szCs w:val="32"/>
          <w:highlight w:val="none"/>
          <w:lang w:eastAsia="zh-CN"/>
        </w:rPr>
        <w:t>月</w:t>
      </w:r>
      <w:r>
        <w:rPr>
          <w:rFonts w:hint="eastAsia" w:eastAsia="仿宋_GB2312"/>
          <w:color w:val="auto"/>
          <w:sz w:val="32"/>
          <w:szCs w:val="32"/>
          <w:highlight w:val="none"/>
          <w:lang w:val="en-US" w:eastAsia="zh-CN"/>
        </w:rPr>
        <w:t>28</w:t>
      </w:r>
      <w:r>
        <w:rPr>
          <w:rFonts w:hint="eastAsia" w:eastAsia="仿宋_GB2312"/>
          <w:color w:val="auto"/>
          <w:sz w:val="32"/>
          <w:szCs w:val="32"/>
          <w:highlight w:val="none"/>
          <w:lang w:eastAsia="zh-CN"/>
        </w:rPr>
        <w:t>日，</w:t>
      </w:r>
      <w:r>
        <w:rPr>
          <w:rFonts w:hint="default"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sz w:val="32"/>
          <w:szCs w:val="32"/>
          <w:lang w:val="en-US" w:eastAsia="zh-CN"/>
        </w:rPr>
        <w:t>该</w:t>
      </w:r>
      <w:r>
        <w:rPr>
          <w:rFonts w:hint="default" w:ascii="Times New Roman" w:hAnsi="Times New Roman" w:eastAsia="仿宋_GB2312" w:cs="Times New Roman"/>
          <w:sz w:val="32"/>
          <w:szCs w:val="32"/>
          <w:lang w:eastAsia="zh-CN"/>
        </w:rPr>
        <w:t>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6A0BCCA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56827B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妥善处理施工废水和固体废弃物；合理安排施工时间，加强对高噪声机械的管理。</w:t>
      </w:r>
    </w:p>
    <w:p w14:paraId="670EA5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color w:val="0000FF"/>
          <w:sz w:val="32"/>
          <w:szCs w:val="32"/>
          <w:lang w:val="en-US" w:eastAsia="zh-CN"/>
        </w:rPr>
      </w:pPr>
      <w:r>
        <w:rPr>
          <w:rFonts w:hint="default" w:ascii="Times New Roman" w:hAnsi="Times New Roman" w:eastAsia="仿宋_GB2312" w:cs="Times New Roman"/>
          <w:color w:val="auto"/>
          <w:sz w:val="32"/>
          <w:szCs w:val="32"/>
        </w:rPr>
        <w:t>2.装车</w:t>
      </w:r>
      <w:r>
        <w:rPr>
          <w:rFonts w:hint="eastAsia" w:eastAsia="仿宋_GB2312" w:cs="Times New Roman"/>
          <w:color w:val="auto"/>
          <w:sz w:val="32"/>
          <w:szCs w:val="32"/>
          <w:lang w:val="en-US" w:eastAsia="zh-CN"/>
        </w:rPr>
        <w:t>过程中产生的</w:t>
      </w:r>
      <w:r>
        <w:rPr>
          <w:rFonts w:hint="default" w:ascii="Times New Roman" w:hAnsi="Times New Roman" w:eastAsia="仿宋_GB2312" w:cs="Times New Roman"/>
          <w:color w:val="auto"/>
          <w:sz w:val="32"/>
          <w:szCs w:val="32"/>
        </w:rPr>
        <w:t>废气、</w:t>
      </w:r>
      <w:r>
        <w:rPr>
          <w:rFonts w:hint="eastAsia" w:eastAsia="仿宋_GB2312" w:cs="Times New Roman"/>
          <w:color w:val="auto"/>
          <w:sz w:val="32"/>
          <w:szCs w:val="32"/>
          <w:lang w:val="en-US" w:eastAsia="zh-CN"/>
        </w:rPr>
        <w:t>清洗航煤罐车过程中产生的</w:t>
      </w:r>
      <w:r>
        <w:rPr>
          <w:rFonts w:hint="default" w:ascii="Times New Roman" w:hAnsi="Times New Roman" w:eastAsia="仿宋_GB2312" w:cs="Times New Roman"/>
          <w:color w:val="auto"/>
          <w:sz w:val="32"/>
          <w:szCs w:val="32"/>
        </w:rPr>
        <w:t>真空泵尾气</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烘干废气均引至</w:t>
      </w:r>
      <w:r>
        <w:rPr>
          <w:rFonts w:hint="eastAsia" w:eastAsia="仿宋_GB2312" w:cs="Times New Roman"/>
          <w:color w:val="auto"/>
          <w:sz w:val="32"/>
          <w:szCs w:val="32"/>
          <w:lang w:val="en-US" w:eastAsia="zh-CN"/>
        </w:rPr>
        <w:t>库区</w:t>
      </w:r>
      <w:r>
        <w:rPr>
          <w:rFonts w:hint="default" w:ascii="Times New Roman" w:hAnsi="Times New Roman" w:eastAsia="仿宋_GB2312" w:cs="Times New Roman"/>
          <w:color w:val="auto"/>
          <w:sz w:val="32"/>
          <w:szCs w:val="32"/>
        </w:rPr>
        <w:t>现有</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油气回收设施处理，</w:t>
      </w:r>
      <w:r>
        <w:rPr>
          <w:rFonts w:hint="eastAsia"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经现有</w:t>
      </w:r>
      <w:r>
        <w:rPr>
          <w:rFonts w:hint="eastAsia" w:eastAsia="仿宋_GB2312" w:cs="Times New Roman"/>
          <w:color w:val="auto"/>
          <w:sz w:val="32"/>
          <w:szCs w:val="32"/>
          <w:lang w:eastAsia="zh-CN"/>
        </w:rPr>
        <w:t>的</w:t>
      </w:r>
      <w:r>
        <w:rPr>
          <w:rFonts w:hint="eastAsia" w:eastAsia="仿宋_GB2312" w:cs="Times New Roman"/>
          <w:color w:val="auto"/>
          <w:sz w:val="32"/>
          <w:szCs w:val="32"/>
          <w:lang w:val="en-US" w:eastAsia="zh-CN"/>
        </w:rPr>
        <w:t>一根</w:t>
      </w:r>
      <w:r>
        <w:rPr>
          <w:rFonts w:hint="default" w:ascii="Times New Roman" w:hAnsi="Times New Roman" w:eastAsia="仿宋_GB2312" w:cs="Times New Roman"/>
          <w:color w:val="auto"/>
          <w:sz w:val="32"/>
          <w:szCs w:val="32"/>
        </w:rPr>
        <w:t>15</w:t>
      </w:r>
      <w:r>
        <w:rPr>
          <w:rFonts w:hint="eastAsia"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rPr>
        <w:t>高</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排气筒DA001</w:t>
      </w:r>
      <w:r>
        <w:rPr>
          <w:rFonts w:hint="eastAsia" w:eastAsia="仿宋_GB2312" w:cs="Times New Roman"/>
          <w:color w:val="auto"/>
          <w:sz w:val="32"/>
          <w:szCs w:val="32"/>
          <w:lang w:val="en-US" w:eastAsia="zh-CN"/>
        </w:rPr>
        <w:t>达标</w:t>
      </w:r>
      <w:r>
        <w:rPr>
          <w:rFonts w:hint="default" w:ascii="Times New Roman" w:hAnsi="Times New Roman" w:eastAsia="仿宋_GB2312" w:cs="Times New Roman"/>
          <w:color w:val="auto"/>
          <w:sz w:val="32"/>
          <w:szCs w:val="32"/>
        </w:rPr>
        <w:t>排放</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污水处理</w:t>
      </w:r>
      <w:r>
        <w:rPr>
          <w:rFonts w:hint="eastAsia" w:eastAsia="仿宋_GB2312" w:cs="Times New Roman"/>
          <w:color w:val="auto"/>
          <w:sz w:val="32"/>
          <w:szCs w:val="32"/>
          <w:lang w:val="en-US" w:eastAsia="zh-CN"/>
        </w:rPr>
        <w:t>设施产生的</w:t>
      </w:r>
      <w:r>
        <w:rPr>
          <w:rFonts w:hint="default" w:ascii="Times New Roman" w:hAnsi="Times New Roman" w:eastAsia="仿宋_GB2312" w:cs="Times New Roman"/>
          <w:color w:val="auto"/>
          <w:sz w:val="32"/>
          <w:szCs w:val="32"/>
        </w:rPr>
        <w:t>废气</w:t>
      </w:r>
      <w:r>
        <w:rPr>
          <w:rFonts w:hint="eastAsia" w:ascii="Times New Roman" w:hAnsi="Times New Roman" w:eastAsia="仿宋_GB2312" w:cs="Times New Roman"/>
          <w:color w:val="auto"/>
          <w:sz w:val="32"/>
          <w:szCs w:val="32"/>
          <w:lang w:val="en-US" w:eastAsia="zh-CN"/>
        </w:rPr>
        <w:t>经活性炭</w:t>
      </w:r>
      <w:r>
        <w:rPr>
          <w:rFonts w:hint="eastAsia" w:eastAsia="仿宋_GB2312" w:cs="Times New Roman"/>
          <w:color w:val="auto"/>
          <w:sz w:val="32"/>
          <w:szCs w:val="32"/>
          <w:lang w:val="en-US" w:eastAsia="zh-CN"/>
        </w:rPr>
        <w:t>吸附设施</w:t>
      </w:r>
      <w:r>
        <w:rPr>
          <w:rFonts w:hint="eastAsia" w:ascii="Times New Roman" w:hAnsi="Times New Roman" w:eastAsia="仿宋_GB2312" w:cs="Times New Roman"/>
          <w:color w:val="auto"/>
          <w:sz w:val="32"/>
          <w:szCs w:val="32"/>
          <w:lang w:val="en-US" w:eastAsia="zh-CN"/>
        </w:rPr>
        <w:t>处理后</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经</w:t>
      </w:r>
      <w:r>
        <w:rPr>
          <w:rFonts w:hint="eastAsia" w:eastAsia="仿宋_GB2312" w:cs="Times New Roman"/>
          <w:color w:val="auto"/>
          <w:sz w:val="32"/>
          <w:szCs w:val="32"/>
          <w:lang w:val="en-US" w:eastAsia="zh-CN"/>
        </w:rPr>
        <w:t>一根</w:t>
      </w:r>
      <w:r>
        <w:rPr>
          <w:rFonts w:hint="default" w:ascii="Times New Roman" w:hAnsi="Times New Roman" w:eastAsia="仿宋_GB2312" w:cs="Times New Roman"/>
          <w:color w:val="auto"/>
          <w:sz w:val="32"/>
          <w:szCs w:val="32"/>
        </w:rPr>
        <w:t>15</w:t>
      </w:r>
      <w:r>
        <w:rPr>
          <w:rFonts w:hint="eastAsia"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rPr>
        <w:t>高</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排气筒DA00</w:t>
      </w:r>
      <w:r>
        <w:rPr>
          <w:rFonts w:hint="eastAsia" w:eastAsia="仿宋_GB2312" w:cs="Times New Roman"/>
          <w:color w:val="auto"/>
          <w:sz w:val="32"/>
          <w:szCs w:val="32"/>
          <w:lang w:val="en-US" w:eastAsia="zh-CN"/>
        </w:rPr>
        <w:t>2达标</w:t>
      </w:r>
      <w:r>
        <w:rPr>
          <w:rFonts w:hint="default" w:ascii="Times New Roman" w:hAnsi="Times New Roman" w:eastAsia="仿宋_GB2312" w:cs="Times New Roman"/>
          <w:color w:val="auto"/>
          <w:sz w:val="32"/>
          <w:szCs w:val="32"/>
        </w:rPr>
        <w:t>排</w:t>
      </w:r>
      <w:r>
        <w:rPr>
          <w:rFonts w:hint="default" w:ascii="Times New Roman" w:hAnsi="Times New Roman" w:eastAsia="仿宋_GB2312" w:cs="Times New Roman"/>
          <w:color w:val="auto"/>
          <w:sz w:val="32"/>
          <w:szCs w:val="32"/>
          <w:lang w:val="en-US" w:eastAsia="zh-CN"/>
        </w:rPr>
        <w:t>放。</w:t>
      </w:r>
    </w:p>
    <w:p w14:paraId="495CCC46">
      <w:pPr>
        <w:pStyle w:val="2"/>
        <w:rPr>
          <w:rFonts w:hint="default"/>
          <w:lang w:val="en-US" w:eastAsia="zh-CN"/>
        </w:rPr>
      </w:pPr>
      <w:r>
        <w:rPr>
          <w:rFonts w:hint="eastAsia" w:eastAsia="仿宋_GB2312"/>
          <w:color w:val="0000FF"/>
          <w:sz w:val="32"/>
          <w:szCs w:val="32"/>
          <w:lang w:val="en-US" w:eastAsia="zh-CN"/>
        </w:rPr>
        <w:t xml:space="preserve">    </w:t>
      </w:r>
      <w:r>
        <w:rPr>
          <w:rFonts w:hint="eastAsia" w:eastAsia="仿宋_GB2312"/>
          <w:color w:val="auto"/>
          <w:sz w:val="32"/>
          <w:szCs w:val="32"/>
          <w:lang w:val="en-US" w:eastAsia="zh-CN"/>
        </w:rPr>
        <w:t>采用高效密封等有效措施，减少废气的无组织排放，确保厂界的无组织排放满足相应的限值要求。</w:t>
      </w:r>
    </w:p>
    <w:p w14:paraId="4B72A6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3.油罐车清洗废水、储罐清洗废水、初期雨水和生活污水经改造后的污水处理设施处理后，全部回用于厂区绿化或清洗罐车，不外排。</w:t>
      </w:r>
    </w:p>
    <w:p w14:paraId="0AB06EB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.合理布局，选用低噪声设备，并采取隔声降噪措施，保证厂界噪声达标。</w:t>
      </w:r>
    </w:p>
    <w:p w14:paraId="025574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5</w:t>
      </w:r>
      <w:r>
        <w:rPr>
          <w:rFonts w:hint="default" w:eastAsia="仿宋_GB2312"/>
          <w:color w:val="auto"/>
          <w:sz w:val="32"/>
          <w:szCs w:val="32"/>
          <w:lang w:val="en-US" w:eastAsia="zh-CN"/>
        </w:rPr>
        <w:t>.</w:t>
      </w:r>
      <w:r>
        <w:rPr>
          <w:rFonts w:hint="eastAsia" w:eastAsia="仿宋_GB2312"/>
          <w:color w:val="auto"/>
          <w:sz w:val="32"/>
          <w:szCs w:val="32"/>
          <w:lang w:val="en-US" w:eastAsia="zh-CN"/>
        </w:rPr>
        <w:t>完善危废暂存</w:t>
      </w:r>
      <w:r>
        <w:rPr>
          <w:rFonts w:hint="eastAsia" w:eastAsia="仿宋_GB2312" w:cs="Times New Roman"/>
          <w:color w:val="auto"/>
          <w:sz w:val="32"/>
          <w:szCs w:val="32"/>
          <w:lang w:val="en-US" w:eastAsia="zh-CN"/>
        </w:rPr>
        <w:t>间</w:t>
      </w:r>
      <w:r>
        <w:rPr>
          <w:rFonts w:hint="eastAsia" w:eastAsia="仿宋_GB2312"/>
          <w:color w:val="auto"/>
          <w:sz w:val="32"/>
          <w:szCs w:val="32"/>
          <w:lang w:eastAsia="zh-CN"/>
        </w:rPr>
        <w:t>，</w:t>
      </w:r>
      <w:r>
        <w:rPr>
          <w:rFonts w:hint="eastAsia"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做好各类固体废物的收集、贮存、运输和处置，做到资源化、减量化、无害化。</w:t>
      </w:r>
    </w:p>
    <w:p w14:paraId="3F460683">
      <w:pPr>
        <w:keepNext w:val="0"/>
        <w:keepLines w:val="0"/>
        <w:pageBreakBefore w:val="0"/>
        <w:widowControl/>
        <w:suppressLineNumbers w:val="0"/>
        <w:kinsoku/>
        <w:overflowPunct/>
        <w:topLinePunct w:val="0"/>
        <w:autoSpaceDE/>
        <w:autoSpaceDN/>
        <w:bidi w:val="0"/>
        <w:adjustRightInd/>
        <w:snapToGrid/>
        <w:spacing w:line="64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新增的</w:t>
      </w:r>
      <w:r>
        <w:rPr>
          <w:rFonts w:hint="eastAsia" w:eastAsia="仿宋_GB2312"/>
          <w:color w:val="auto"/>
          <w:sz w:val="32"/>
          <w:szCs w:val="32"/>
        </w:rPr>
        <w:t>废活性炭、污泥</w:t>
      </w:r>
      <w:r>
        <w:rPr>
          <w:rFonts w:hint="default" w:ascii="Times New Roman" w:hAnsi="Times New Roman" w:eastAsia="仿宋_GB2312" w:cs="Times New Roman"/>
          <w:color w:val="auto"/>
          <w:sz w:val="32"/>
          <w:szCs w:val="32"/>
          <w:lang w:val="en-US" w:eastAsia="zh-CN"/>
        </w:rPr>
        <w:t>等危险废物交有资质的单位进行处理</w:t>
      </w:r>
      <w:r>
        <w:rPr>
          <w:rFonts w:hint="eastAsia"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严格按照《工业危险废物产生单位规范化管理指标及抽查表》做好危险废物规范化管理工作。</w:t>
      </w:r>
    </w:p>
    <w:p w14:paraId="7D36D4D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严格按照《石油化工工程防渗技术规范》（GB/T50934-2013）的要求，</w:t>
      </w:r>
      <w:r>
        <w:rPr>
          <w:rFonts w:hint="eastAsia"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厂区</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分区防渗措施</w:t>
      </w:r>
      <w:r>
        <w:rPr>
          <w:rFonts w:hint="eastAsia"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定期检查防渗层是否有效，</w:t>
      </w:r>
      <w:r>
        <w:rPr>
          <w:rFonts w:hint="eastAsia" w:eastAsia="仿宋_GB2312" w:cs="Times New Roman"/>
          <w:color w:val="auto"/>
          <w:sz w:val="32"/>
          <w:szCs w:val="32"/>
          <w:lang w:val="en-US" w:eastAsia="zh-CN"/>
        </w:rPr>
        <w:t>一旦</w:t>
      </w:r>
      <w:r>
        <w:rPr>
          <w:rFonts w:hint="default" w:ascii="Times New Roman" w:hAnsi="Times New Roman" w:eastAsia="仿宋_GB2312" w:cs="Times New Roman"/>
          <w:color w:val="auto"/>
          <w:sz w:val="32"/>
          <w:szCs w:val="32"/>
          <w:lang w:val="en-US" w:eastAsia="zh-CN"/>
        </w:rPr>
        <w:t>发现破裂和损坏，</w:t>
      </w:r>
      <w:r>
        <w:rPr>
          <w:rFonts w:hint="eastAsia"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CN"/>
        </w:rPr>
        <w:t>及时采取措施进行修补或重建。</w:t>
      </w:r>
    </w:p>
    <w:p w14:paraId="7BED30D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eastAsia="仿宋_GB2312"/>
          <w:bCs/>
          <w:color w:val="auto"/>
          <w:sz w:val="32"/>
          <w:szCs w:val="32"/>
          <w:lang w:val="en-US" w:eastAsia="zh-CN"/>
        </w:rPr>
        <w:t>合理设置地下水监测井，严格落实地下水</w:t>
      </w:r>
      <w:r>
        <w:rPr>
          <w:rFonts w:hint="eastAsia" w:eastAsia="仿宋_GB2312"/>
          <w:bCs/>
          <w:color w:val="auto"/>
          <w:sz w:val="32"/>
          <w:szCs w:val="32"/>
          <w:lang w:val="en-US" w:eastAsia="zh-CN"/>
        </w:rPr>
        <w:t>和土壤</w:t>
      </w:r>
      <w:r>
        <w:rPr>
          <w:rFonts w:hint="default" w:eastAsia="仿宋_GB2312"/>
          <w:bCs/>
          <w:color w:val="auto"/>
          <w:sz w:val="32"/>
          <w:szCs w:val="32"/>
          <w:lang w:val="en-US" w:eastAsia="zh-CN"/>
        </w:rPr>
        <w:t>监测计划。一旦出现地下水污染，立即启动应急预案和应急处置办法，避免对地下水和土壤造成不利影响。</w:t>
      </w:r>
    </w:p>
    <w:p w14:paraId="3BA59B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bCs/>
          <w:color w:val="auto"/>
          <w:sz w:val="32"/>
          <w:szCs w:val="32"/>
          <w:lang w:val="en-US" w:eastAsia="zh-CN"/>
        </w:rPr>
      </w:pPr>
      <w:r>
        <w:rPr>
          <w:rFonts w:hint="eastAsia" w:eastAsia="仿宋_GB2312"/>
          <w:bCs/>
          <w:color w:val="auto"/>
          <w:sz w:val="32"/>
          <w:szCs w:val="32"/>
          <w:lang w:val="en-US" w:eastAsia="zh-CN"/>
        </w:rPr>
        <w:t>7</w:t>
      </w:r>
      <w:r>
        <w:rPr>
          <w:rFonts w:hint="default" w:eastAsia="仿宋_GB2312"/>
          <w:bCs/>
          <w:color w:val="auto"/>
          <w:sz w:val="32"/>
          <w:szCs w:val="32"/>
          <w:lang w:val="en-US" w:eastAsia="zh-CN"/>
        </w:rPr>
        <w:t>.完善突发环境风险应急预案，</w:t>
      </w:r>
      <w:r>
        <w:rPr>
          <w:rFonts w:hint="eastAsia" w:eastAsia="仿宋_GB2312"/>
          <w:bCs/>
          <w:color w:val="auto"/>
          <w:sz w:val="32"/>
          <w:szCs w:val="32"/>
          <w:lang w:val="en-US" w:eastAsia="zh-CN"/>
        </w:rPr>
        <w:t>并</w:t>
      </w:r>
      <w:r>
        <w:rPr>
          <w:rFonts w:hint="default" w:ascii="Times New Roman" w:hAnsi="Times New Roman" w:eastAsia="仿宋_GB2312" w:cs="Times New Roman"/>
          <w:color w:val="auto"/>
          <w:sz w:val="32"/>
          <w:szCs w:val="32"/>
          <w:lang w:eastAsia="zh-CN"/>
        </w:rPr>
        <w:t>报区生态环境局备案；</w:t>
      </w: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lang w:val="en-US" w:eastAsia="zh-CN"/>
        </w:rPr>
        <w:t>现有</w:t>
      </w:r>
      <w:r>
        <w:rPr>
          <w:rFonts w:hint="eastAsia" w:ascii="Times New Roman" w:hAnsi="Times New Roman" w:eastAsia="仿宋_GB2312" w:cs="Times New Roman"/>
          <w:color w:val="auto"/>
          <w:sz w:val="32"/>
          <w:szCs w:val="32"/>
          <w:lang w:val="en-US" w:eastAsia="zh-CN"/>
        </w:rPr>
        <w:t>风险防范措施有效</w:t>
      </w:r>
      <w:r>
        <w:rPr>
          <w:rFonts w:hint="default" w:ascii="Times New Roman" w:hAnsi="Times New Roman" w:eastAsia="仿宋_GB2312" w:cs="Times New Roman"/>
          <w:color w:val="auto"/>
          <w:sz w:val="32"/>
          <w:szCs w:val="32"/>
          <w:lang w:val="en-US" w:eastAsia="zh-CN"/>
        </w:rPr>
        <w:t>的基础上，</w:t>
      </w:r>
      <w:r>
        <w:rPr>
          <w:rFonts w:hint="eastAsia"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lang w:val="en-US" w:eastAsia="zh-CN"/>
        </w:rPr>
        <w:t>强化各项防范措施</w:t>
      </w:r>
      <w:r>
        <w:rPr>
          <w:rFonts w:hint="eastAsia" w:eastAsia="仿宋_GB2312" w:cs="Times New Roman"/>
          <w:color w:val="auto"/>
          <w:sz w:val="32"/>
          <w:szCs w:val="32"/>
          <w:lang w:val="en-US" w:eastAsia="zh-CN"/>
        </w:rPr>
        <w:t>，并做好防溢油扩散应急抢险物资的储备，确保事故发生后能立即响应；</w:t>
      </w:r>
      <w:r>
        <w:rPr>
          <w:rFonts w:hint="default" w:eastAsia="仿宋_GB2312" w:cs="Times New Roman"/>
          <w:color w:val="auto"/>
          <w:sz w:val="32"/>
          <w:szCs w:val="32"/>
          <w:lang w:val="en-US" w:eastAsia="zh-CN"/>
        </w:rPr>
        <w:t>定期开展</w:t>
      </w:r>
      <w:r>
        <w:rPr>
          <w:rFonts w:hint="default" w:eastAsia="仿宋_GB2312"/>
          <w:bCs/>
          <w:color w:val="auto"/>
          <w:sz w:val="32"/>
          <w:szCs w:val="32"/>
          <w:lang w:val="en-US" w:eastAsia="zh-CN"/>
        </w:rPr>
        <w:t>应急演练，</w:t>
      </w:r>
      <w:r>
        <w:rPr>
          <w:rFonts w:hint="eastAsia" w:eastAsia="仿宋_GB2312"/>
          <w:bCs/>
          <w:color w:val="auto"/>
          <w:sz w:val="32"/>
          <w:szCs w:val="32"/>
          <w:lang w:val="en-US" w:eastAsia="zh-CN"/>
        </w:rPr>
        <w:t>提升</w:t>
      </w:r>
      <w:r>
        <w:rPr>
          <w:rFonts w:hint="default" w:eastAsia="仿宋_GB2312"/>
          <w:bCs/>
          <w:color w:val="auto"/>
          <w:sz w:val="32"/>
          <w:szCs w:val="32"/>
          <w:lang w:val="en-US" w:eastAsia="zh-CN"/>
        </w:rPr>
        <w:t>应对突发环境风险事故的处理能力。</w:t>
      </w:r>
    </w:p>
    <w:p w14:paraId="0B70C59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eastAsia="仿宋_GB2312" w:cs="Times New Roman"/>
          <w:sz w:val="32"/>
          <w:szCs w:val="32"/>
          <w:lang w:val="en-US" w:eastAsia="zh-CN"/>
        </w:rPr>
        <w:t>三、根据</w:t>
      </w:r>
      <w:r>
        <w:rPr>
          <w:rFonts w:hint="eastAsia" w:eastAsia="仿宋_GB2312" w:cs="Times New Roman"/>
          <w:sz w:val="32"/>
          <w:szCs w:val="32"/>
          <w:lang w:val="en-US" w:eastAsia="zh-CN"/>
        </w:rPr>
        <w:t>环评报告的评价结论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该项目建成后</w:t>
      </w:r>
      <w:r>
        <w:rPr>
          <w:rFonts w:hint="eastAsia" w:eastAsia="仿宋_GB2312" w:cs="Times New Roman"/>
          <w:sz w:val="32"/>
          <w:szCs w:val="32"/>
          <w:lang w:val="en-US" w:eastAsia="zh-CN"/>
        </w:rPr>
        <w:t>不新增主要污染物排放总量</w:t>
      </w:r>
      <w:r>
        <w:rPr>
          <w:rFonts w:hint="default" w:ascii="Times New Roman" w:hAnsi="Times New Roman" w:eastAsia="仿宋_GB2312" w:cs="Times New Roman"/>
          <w:sz w:val="32"/>
          <w:szCs w:val="32"/>
        </w:rPr>
        <w:t>。</w:t>
      </w:r>
    </w:p>
    <w:p w14:paraId="0ED3633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color w:val="auto"/>
          <w:sz w:val="32"/>
          <w:szCs w:val="32"/>
          <w:lang w:val="en-US" w:eastAsia="zh-CN"/>
        </w:rPr>
        <w:t>项目建设应严格执行环境保</w:t>
      </w:r>
      <w:r>
        <w:rPr>
          <w:rFonts w:hint="default" w:ascii="Times New Roman" w:hAnsi="Times New Roman" w:eastAsia="仿宋_GB2312" w:cs="Times New Roman"/>
          <w:sz w:val="32"/>
          <w:szCs w:val="32"/>
        </w:rPr>
        <w:t>护设施与主体工程同时设计、同时施工、同时投产使用的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制度，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3B52E7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14:paraId="16A70D4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《环境空气质量标准》（</w:t>
      </w:r>
      <w:r>
        <w:rPr>
          <w:rFonts w:hint="default" w:ascii="Times New Roman" w:hAnsi="Times New Roman" w:eastAsia="仿宋_GB2312" w:cs="Times New Roman"/>
          <w:sz w:val="32"/>
          <w:szCs w:val="32"/>
        </w:rPr>
        <w:t>GB3095-2012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二级；</w:t>
      </w:r>
      <w:r>
        <w:rPr>
          <w:rFonts w:hint="eastAsia" w:ascii="Times New Roman" w:hAnsi="Times New Roman" w:eastAsia="仿宋_GB2312" w:cs="Times New Roman"/>
          <w:sz w:val="32"/>
          <w:szCs w:val="32"/>
        </w:rPr>
        <w:t>非甲烷总烃参照执行《大气污染物综合排放标准详解》中</w:t>
      </w:r>
      <w:r>
        <w:rPr>
          <w:rFonts w:hint="eastAsia" w:ascii="Times New Roman" w:hAnsi="Times New Roman" w:eastAsia="仿宋_GB2312" w:cs="Times New Roman"/>
          <w:sz w:val="32"/>
          <w:szCs w:val="32"/>
          <w:lang w:eastAsia="zh-CN"/>
        </w:rPr>
        <w:t>相关要求；</w:t>
      </w:r>
    </w:p>
    <w:p w14:paraId="1565DF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《地下水质量标准》（GB/T14848-2017）；《地表水环境质量标准》（GB3838-2002）；</w:t>
      </w:r>
    </w:p>
    <w:p w14:paraId="4E59C67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建设用地土壤污染风险管控标准（试行）》（GB36600-2018）；《土壤环境质量 建设用地土壤污染风险管控标准》（DB12/1311-2024）</w:t>
      </w:r>
      <w:r>
        <w:rPr>
          <w:rFonts w:hint="eastAsia" w:eastAsia="仿宋_GB2312" w:cs="Times New Roman"/>
          <w:sz w:val="32"/>
          <w:szCs w:val="32"/>
          <w:lang w:eastAsia="zh-CN"/>
        </w:rPr>
        <w:t>；</w:t>
      </w:r>
    </w:p>
    <w:p w14:paraId="36DCFAF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eastAsia="仿宋_GB2312" w:cs="Times New Roman"/>
          <w:sz w:val="32"/>
          <w:szCs w:val="32"/>
          <w:lang w:eastAsia="zh-CN"/>
        </w:rPr>
      </w:pPr>
      <w:r>
        <w:rPr>
          <w:rFonts w:hint="eastAsia" w:ascii="Times New Roman" w:hAnsi="Times New Roman" w:eastAsia="仿宋_GB2312" w:cs="Times New Roman"/>
          <w:sz w:val="32"/>
          <w:szCs w:val="32"/>
          <w:lang w:val="en-US" w:eastAsia="zh-CN"/>
        </w:rPr>
        <w:t>4.排气筒DA001执行《储油库大气污染物排放标准》（GB20950-2020）</w:t>
      </w:r>
      <w:r>
        <w:rPr>
          <w:rFonts w:hint="eastAsia" w:ascii="Times New Roman" w:hAnsi="Times New Roman" w:eastAsia="仿宋_GB2312" w:cs="Times New Roman"/>
          <w:sz w:val="32"/>
          <w:szCs w:val="32"/>
          <w:lang w:eastAsia="zh-CN"/>
        </w:rPr>
        <w:t>；排气筒DA002执行《恶臭污染物排放标准》（DB12/059-2018）、《工业企业挥发性有机物排放控制标准》（DB12/524-2020）</w:t>
      </w:r>
      <w:r>
        <w:rPr>
          <w:rFonts w:hint="eastAsia" w:eastAsia="仿宋_GB2312" w:cs="Times New Roman"/>
          <w:sz w:val="32"/>
          <w:szCs w:val="32"/>
          <w:lang w:eastAsia="zh-CN"/>
        </w:rPr>
        <w:t>；非甲烷总烃的无组织排放执行储油库大气污染物排放标准》（GB20950-2020）；</w:t>
      </w:r>
    </w:p>
    <w:p w14:paraId="13F3DE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5.回用水水质执行《城市污水再生利用 城市杂用水水质》</w:t>
      </w:r>
    </w:p>
    <w:p w14:paraId="4DDFECFD">
      <w:pPr>
        <w:keepNext w:val="0"/>
        <w:keepLines w:val="0"/>
        <w:pageBreakBefore w:val="0"/>
        <w:widowControl w:val="0"/>
        <w:kinsoku/>
        <w:wordWrap/>
        <w:overflowPunct/>
        <w:topLinePunct w:val="0"/>
        <w:autoSpaceDE/>
        <w:autoSpaceDN/>
        <w:bidi w:val="0"/>
        <w:adjustRightInd/>
        <w:snapToGrid/>
        <w:spacing w:line="640" w:lineRule="exact"/>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（GB/T 18920-2020）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《城市污水再生利用 工业用水水质》（GB/T 19923-2024）</w:t>
      </w:r>
      <w:r>
        <w:rPr>
          <w:rFonts w:hint="eastAsia" w:eastAsia="仿宋_GB2312" w:cs="Times New Roman"/>
          <w:sz w:val="32"/>
          <w:szCs w:val="32"/>
          <w:lang w:val="en-US" w:eastAsia="zh-CN"/>
        </w:rPr>
        <w:t>；</w:t>
      </w:r>
    </w:p>
    <w:p w14:paraId="53CD260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14:paraId="2EB1CBE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《危险废物贮存污染控制标准》（GB18597-2001）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《危险废物收集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贮存</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运输技术规范》（HJ2025-2012）</w:t>
      </w:r>
      <w:r>
        <w:rPr>
          <w:rFonts w:hint="default" w:ascii="Times New Roman" w:hAnsi="Times New Roman" w:eastAsia="仿宋_GB2312" w:cs="Times New Roman"/>
          <w:sz w:val="32"/>
          <w:szCs w:val="32"/>
          <w:lang w:eastAsia="zh-CN"/>
        </w:rPr>
        <w:t>。</w:t>
      </w:r>
    </w:p>
    <w:p w14:paraId="2E962796">
      <w:pPr>
        <w:pStyle w:val="2"/>
        <w:pageBreakBefore w:val="0"/>
        <w:widowControl w:val="0"/>
        <w:kinsoku/>
        <w:wordWrap w:val="0"/>
        <w:overflowPunct/>
        <w:topLinePunct w:val="0"/>
        <w:autoSpaceDE/>
        <w:autoSpaceDN/>
        <w:bidi w:val="0"/>
        <w:adjustRightInd/>
        <w:snapToGrid/>
        <w:spacing w:line="64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335F30E1">
      <w:pPr>
        <w:rPr>
          <w:rFonts w:hint="default" w:ascii="Times New Roman" w:hAnsi="Times New Roman" w:eastAsia="仿宋_GB2312" w:cs="Times New Roman"/>
          <w:sz w:val="32"/>
          <w:szCs w:val="32"/>
        </w:rPr>
      </w:pPr>
    </w:p>
    <w:p w14:paraId="3DBF7D69">
      <w:pPr>
        <w:pStyle w:val="4"/>
        <w:rPr>
          <w:rFonts w:hint="default" w:ascii="Times New Roman" w:hAnsi="Times New Roman" w:eastAsia="仿宋_GB2312" w:cs="Times New Roman"/>
          <w:sz w:val="32"/>
          <w:szCs w:val="32"/>
        </w:rPr>
      </w:pPr>
    </w:p>
    <w:p w14:paraId="6E79B3C6">
      <w:pPr>
        <w:pStyle w:val="4"/>
        <w:rPr>
          <w:rFonts w:hint="default" w:ascii="Times New Roman" w:hAnsi="Times New Roman" w:eastAsia="仿宋_GB2312" w:cs="Times New Roman"/>
          <w:sz w:val="32"/>
          <w:szCs w:val="32"/>
        </w:rPr>
      </w:pPr>
    </w:p>
    <w:p w14:paraId="349471C1">
      <w:pPr>
        <w:pStyle w:val="4"/>
        <w:rPr>
          <w:rFonts w:hint="default" w:ascii="Times New Roman" w:hAnsi="Times New Roman" w:eastAsia="仿宋_GB2312" w:cs="Times New Roman"/>
          <w:sz w:val="32"/>
          <w:szCs w:val="32"/>
        </w:rPr>
      </w:pPr>
    </w:p>
    <w:p w14:paraId="30469C41">
      <w:pPr>
        <w:pStyle w:val="2"/>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29</w:t>
      </w:r>
      <w:r>
        <w:rPr>
          <w:rFonts w:hint="default" w:ascii="Times New Roman" w:hAnsi="Times New Roman" w:eastAsia="仿宋_GB2312" w:cs="Times New Roman"/>
          <w:sz w:val="32"/>
          <w:lang w:val="en-US" w:eastAsia="zh-CN"/>
        </w:rPr>
        <w:t xml:space="preserve">日   </w:t>
      </w:r>
    </w:p>
    <w:p w14:paraId="49B7A78F">
      <w:pPr>
        <w:pStyle w:val="4"/>
        <w:rPr>
          <w:rFonts w:hint="default" w:ascii="Times New Roman" w:hAnsi="Times New Roman" w:eastAsia="仿宋_GB2312" w:cs="Times New Roman"/>
          <w:sz w:val="32"/>
          <w:lang w:val="en-US" w:eastAsia="zh-CN"/>
        </w:rPr>
      </w:pPr>
    </w:p>
    <w:p w14:paraId="6BEF9980">
      <w:pPr>
        <w:pStyle w:val="4"/>
        <w:rPr>
          <w:rFonts w:hint="default" w:ascii="Times New Roman" w:hAnsi="Times New Roman" w:eastAsia="仿宋_GB2312" w:cs="Times New Roman"/>
          <w:sz w:val="32"/>
          <w:lang w:val="en-US" w:eastAsia="zh-CN"/>
        </w:rPr>
      </w:pPr>
    </w:p>
    <w:p w14:paraId="6F2AFCB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eastAsia" w:eastAsia="仿宋_GB2312" w:cs="Times New Roman"/>
          <w:sz w:val="28"/>
          <w:szCs w:val="28"/>
          <w:lang w:eastAsia="zh-CN"/>
        </w:rPr>
        <w:t>报告</w:t>
      </w:r>
      <w:r>
        <w:rPr>
          <w:rFonts w:hint="eastAsia" w:eastAsia="仿宋_GB2312" w:cs="Times New Roman"/>
          <w:sz w:val="28"/>
          <w:szCs w:val="28"/>
          <w:lang w:val="en-US" w:eastAsia="zh-CN"/>
        </w:rPr>
        <w:t>表</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8"/>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F38B614">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60229C73">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14:paraId="6FB94721">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29</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8A">
    <w:pPr>
      <w:pStyle w:val="6"/>
      <w:tabs>
        <w:tab w:val="left" w:pos="194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63C2B">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A63C2B">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ABE">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2941977">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JlMzAwZTE0OTRjMTQ5OTJjY2ZiMzRkMmYxNjUifQ=="/>
  </w:docVars>
  <w:rsids>
    <w:rsidRoot w:val="00745E92"/>
    <w:rsid w:val="000052E2"/>
    <w:rsid w:val="000D0BAA"/>
    <w:rsid w:val="000F7AB4"/>
    <w:rsid w:val="001070EC"/>
    <w:rsid w:val="0014406D"/>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4C4A0A"/>
    <w:rsid w:val="0196080C"/>
    <w:rsid w:val="01AA3C90"/>
    <w:rsid w:val="021332BB"/>
    <w:rsid w:val="027448D4"/>
    <w:rsid w:val="02CC7074"/>
    <w:rsid w:val="03213151"/>
    <w:rsid w:val="03360360"/>
    <w:rsid w:val="03A721F7"/>
    <w:rsid w:val="045E0635"/>
    <w:rsid w:val="04883B8C"/>
    <w:rsid w:val="04C7570B"/>
    <w:rsid w:val="04F14182"/>
    <w:rsid w:val="052028A1"/>
    <w:rsid w:val="052D7F94"/>
    <w:rsid w:val="05951337"/>
    <w:rsid w:val="05F9595A"/>
    <w:rsid w:val="062E3196"/>
    <w:rsid w:val="07CF6683"/>
    <w:rsid w:val="0812260A"/>
    <w:rsid w:val="08447D08"/>
    <w:rsid w:val="09011B8A"/>
    <w:rsid w:val="09467BB6"/>
    <w:rsid w:val="098E4BD7"/>
    <w:rsid w:val="0A2B38B7"/>
    <w:rsid w:val="0B465319"/>
    <w:rsid w:val="0C405FB4"/>
    <w:rsid w:val="0CA16C03"/>
    <w:rsid w:val="0D054984"/>
    <w:rsid w:val="0D3B48D7"/>
    <w:rsid w:val="0D3B59CD"/>
    <w:rsid w:val="0D560654"/>
    <w:rsid w:val="0D561C7C"/>
    <w:rsid w:val="0DA83EAF"/>
    <w:rsid w:val="0F3919D8"/>
    <w:rsid w:val="0F816E9B"/>
    <w:rsid w:val="0F914382"/>
    <w:rsid w:val="10511791"/>
    <w:rsid w:val="10DE29D7"/>
    <w:rsid w:val="111F4694"/>
    <w:rsid w:val="113E16A1"/>
    <w:rsid w:val="12D210F5"/>
    <w:rsid w:val="12F732E5"/>
    <w:rsid w:val="135B2AA8"/>
    <w:rsid w:val="13B03544"/>
    <w:rsid w:val="14626C16"/>
    <w:rsid w:val="14A960CE"/>
    <w:rsid w:val="14F949CF"/>
    <w:rsid w:val="15015DE7"/>
    <w:rsid w:val="15045C82"/>
    <w:rsid w:val="15795DAB"/>
    <w:rsid w:val="162A7EEF"/>
    <w:rsid w:val="164B3A94"/>
    <w:rsid w:val="1732614F"/>
    <w:rsid w:val="18385531"/>
    <w:rsid w:val="18B716FF"/>
    <w:rsid w:val="194C0391"/>
    <w:rsid w:val="194D2965"/>
    <w:rsid w:val="198A6439"/>
    <w:rsid w:val="19E67A83"/>
    <w:rsid w:val="1A8D5D30"/>
    <w:rsid w:val="1C281B6B"/>
    <w:rsid w:val="1C293D74"/>
    <w:rsid w:val="1C5E66F7"/>
    <w:rsid w:val="1D1B7F9F"/>
    <w:rsid w:val="1D7C474C"/>
    <w:rsid w:val="1DA47F82"/>
    <w:rsid w:val="1DCA541D"/>
    <w:rsid w:val="1E076CB4"/>
    <w:rsid w:val="1E1060F6"/>
    <w:rsid w:val="1E210425"/>
    <w:rsid w:val="1E74091F"/>
    <w:rsid w:val="1E7F071B"/>
    <w:rsid w:val="1F363595"/>
    <w:rsid w:val="1F6A33D1"/>
    <w:rsid w:val="1F852334"/>
    <w:rsid w:val="2087555A"/>
    <w:rsid w:val="21156812"/>
    <w:rsid w:val="21240591"/>
    <w:rsid w:val="22431C91"/>
    <w:rsid w:val="23600C7E"/>
    <w:rsid w:val="23CA69F1"/>
    <w:rsid w:val="23D62413"/>
    <w:rsid w:val="23E87AE3"/>
    <w:rsid w:val="240F5411"/>
    <w:rsid w:val="24B9401E"/>
    <w:rsid w:val="24D23C39"/>
    <w:rsid w:val="253A1F30"/>
    <w:rsid w:val="25547F3A"/>
    <w:rsid w:val="25611E40"/>
    <w:rsid w:val="26301E3E"/>
    <w:rsid w:val="26C626BC"/>
    <w:rsid w:val="26CB5C09"/>
    <w:rsid w:val="2709199E"/>
    <w:rsid w:val="274B55F3"/>
    <w:rsid w:val="283662C3"/>
    <w:rsid w:val="2882427E"/>
    <w:rsid w:val="29121C1A"/>
    <w:rsid w:val="299C3BC1"/>
    <w:rsid w:val="2B827DFB"/>
    <w:rsid w:val="2BBEB177"/>
    <w:rsid w:val="2D0D5844"/>
    <w:rsid w:val="2D3E280E"/>
    <w:rsid w:val="2DA916AB"/>
    <w:rsid w:val="2E8024D0"/>
    <w:rsid w:val="2EAD5884"/>
    <w:rsid w:val="2EB85BDE"/>
    <w:rsid w:val="2EC44C19"/>
    <w:rsid w:val="2EEE2F86"/>
    <w:rsid w:val="2EFE5594"/>
    <w:rsid w:val="2F6A4212"/>
    <w:rsid w:val="2FBB487B"/>
    <w:rsid w:val="30A7301A"/>
    <w:rsid w:val="30BC5390"/>
    <w:rsid w:val="30C65A6F"/>
    <w:rsid w:val="30DE044C"/>
    <w:rsid w:val="319670E1"/>
    <w:rsid w:val="328F2DD0"/>
    <w:rsid w:val="329C7CEA"/>
    <w:rsid w:val="32BD3E0B"/>
    <w:rsid w:val="32DC4CE6"/>
    <w:rsid w:val="332377B7"/>
    <w:rsid w:val="33815AAF"/>
    <w:rsid w:val="33EC13A9"/>
    <w:rsid w:val="3420390A"/>
    <w:rsid w:val="349E50E9"/>
    <w:rsid w:val="350407BA"/>
    <w:rsid w:val="357300D5"/>
    <w:rsid w:val="35922F49"/>
    <w:rsid w:val="35FE136C"/>
    <w:rsid w:val="36EA566A"/>
    <w:rsid w:val="36FE46E3"/>
    <w:rsid w:val="37101386"/>
    <w:rsid w:val="3723249F"/>
    <w:rsid w:val="381F40A2"/>
    <w:rsid w:val="38C05E78"/>
    <w:rsid w:val="38F81121"/>
    <w:rsid w:val="39710D21"/>
    <w:rsid w:val="3A32587E"/>
    <w:rsid w:val="3A6D403A"/>
    <w:rsid w:val="3BFDD9C7"/>
    <w:rsid w:val="3C046B96"/>
    <w:rsid w:val="3D0C768C"/>
    <w:rsid w:val="3D8239D8"/>
    <w:rsid w:val="3DDE798B"/>
    <w:rsid w:val="3E3D0697"/>
    <w:rsid w:val="3F2C2E18"/>
    <w:rsid w:val="3FA204D5"/>
    <w:rsid w:val="401E12EB"/>
    <w:rsid w:val="40E5697D"/>
    <w:rsid w:val="413A0992"/>
    <w:rsid w:val="41742EE3"/>
    <w:rsid w:val="41752E1C"/>
    <w:rsid w:val="41BA4FD1"/>
    <w:rsid w:val="4226008C"/>
    <w:rsid w:val="427207C8"/>
    <w:rsid w:val="42B606F5"/>
    <w:rsid w:val="42ED2E59"/>
    <w:rsid w:val="440A5E67"/>
    <w:rsid w:val="448C633B"/>
    <w:rsid w:val="45C94763"/>
    <w:rsid w:val="4751155D"/>
    <w:rsid w:val="47697740"/>
    <w:rsid w:val="476C4F3E"/>
    <w:rsid w:val="48BE46A7"/>
    <w:rsid w:val="48D04094"/>
    <w:rsid w:val="48D97524"/>
    <w:rsid w:val="494E4D51"/>
    <w:rsid w:val="49833837"/>
    <w:rsid w:val="4B106CD2"/>
    <w:rsid w:val="4B2A03D0"/>
    <w:rsid w:val="4D1D1521"/>
    <w:rsid w:val="4D395FE1"/>
    <w:rsid w:val="4DCF2012"/>
    <w:rsid w:val="4DFA0CDD"/>
    <w:rsid w:val="4E9E2F35"/>
    <w:rsid w:val="4EEC64E9"/>
    <w:rsid w:val="4F2ED06B"/>
    <w:rsid w:val="4FD50B6A"/>
    <w:rsid w:val="500F0C3D"/>
    <w:rsid w:val="5033350D"/>
    <w:rsid w:val="50694D8B"/>
    <w:rsid w:val="50C652E8"/>
    <w:rsid w:val="51375E87"/>
    <w:rsid w:val="51EA731C"/>
    <w:rsid w:val="52392CEE"/>
    <w:rsid w:val="52484DEE"/>
    <w:rsid w:val="535C58B0"/>
    <w:rsid w:val="53B020AE"/>
    <w:rsid w:val="54015557"/>
    <w:rsid w:val="541B0D50"/>
    <w:rsid w:val="545C66DA"/>
    <w:rsid w:val="54A94C8C"/>
    <w:rsid w:val="54CA086A"/>
    <w:rsid w:val="552F1B50"/>
    <w:rsid w:val="55C13D31"/>
    <w:rsid w:val="562E39E7"/>
    <w:rsid w:val="564535B7"/>
    <w:rsid w:val="56851D8D"/>
    <w:rsid w:val="56D82D31"/>
    <w:rsid w:val="56FC2048"/>
    <w:rsid w:val="57EB19AD"/>
    <w:rsid w:val="581422A4"/>
    <w:rsid w:val="583523D1"/>
    <w:rsid w:val="58363A36"/>
    <w:rsid w:val="58823D7B"/>
    <w:rsid w:val="591879F0"/>
    <w:rsid w:val="59212B72"/>
    <w:rsid w:val="59465D4C"/>
    <w:rsid w:val="596858D8"/>
    <w:rsid w:val="59C84C94"/>
    <w:rsid w:val="59DB75CE"/>
    <w:rsid w:val="5A072110"/>
    <w:rsid w:val="5AAE415F"/>
    <w:rsid w:val="5AE173F0"/>
    <w:rsid w:val="5BA67AFB"/>
    <w:rsid w:val="5BAB4FC8"/>
    <w:rsid w:val="5BBFAB06"/>
    <w:rsid w:val="5C0E65CF"/>
    <w:rsid w:val="5C30736F"/>
    <w:rsid w:val="5C344FAE"/>
    <w:rsid w:val="5C372E78"/>
    <w:rsid w:val="5CC7686F"/>
    <w:rsid w:val="5D493CCC"/>
    <w:rsid w:val="5D6D3A74"/>
    <w:rsid w:val="5E8003DD"/>
    <w:rsid w:val="5FA32532"/>
    <w:rsid w:val="5FAB14C4"/>
    <w:rsid w:val="5FEEE263"/>
    <w:rsid w:val="5FF14D4A"/>
    <w:rsid w:val="6027351B"/>
    <w:rsid w:val="60B36848"/>
    <w:rsid w:val="61680E55"/>
    <w:rsid w:val="62027BE8"/>
    <w:rsid w:val="62070BC1"/>
    <w:rsid w:val="62423878"/>
    <w:rsid w:val="628A6975"/>
    <w:rsid w:val="62F2644C"/>
    <w:rsid w:val="63936210"/>
    <w:rsid w:val="64424746"/>
    <w:rsid w:val="64DC0D59"/>
    <w:rsid w:val="657E3EFE"/>
    <w:rsid w:val="65EE4F62"/>
    <w:rsid w:val="661160A9"/>
    <w:rsid w:val="664E6420"/>
    <w:rsid w:val="66B62874"/>
    <w:rsid w:val="66D01090"/>
    <w:rsid w:val="675400CE"/>
    <w:rsid w:val="67873294"/>
    <w:rsid w:val="678A1676"/>
    <w:rsid w:val="69066408"/>
    <w:rsid w:val="696542C2"/>
    <w:rsid w:val="697D04EB"/>
    <w:rsid w:val="69E06C7A"/>
    <w:rsid w:val="6B93515D"/>
    <w:rsid w:val="6BA10C56"/>
    <w:rsid w:val="6C120FC7"/>
    <w:rsid w:val="6C290F57"/>
    <w:rsid w:val="6C2E403A"/>
    <w:rsid w:val="6C8B768D"/>
    <w:rsid w:val="6CFF3FF8"/>
    <w:rsid w:val="6D083D17"/>
    <w:rsid w:val="6D180D54"/>
    <w:rsid w:val="6D4A025B"/>
    <w:rsid w:val="6D8E1A1A"/>
    <w:rsid w:val="6DEB5D1C"/>
    <w:rsid w:val="6E0C2DE7"/>
    <w:rsid w:val="6E164B86"/>
    <w:rsid w:val="6E2476C2"/>
    <w:rsid w:val="6E887136"/>
    <w:rsid w:val="6E8D2498"/>
    <w:rsid w:val="6FF72EC5"/>
    <w:rsid w:val="70534516"/>
    <w:rsid w:val="70C57082"/>
    <w:rsid w:val="70EF0949"/>
    <w:rsid w:val="71014E29"/>
    <w:rsid w:val="71D67B21"/>
    <w:rsid w:val="722D0B45"/>
    <w:rsid w:val="72FF4034"/>
    <w:rsid w:val="732734F5"/>
    <w:rsid w:val="73B01FEE"/>
    <w:rsid w:val="74607AA0"/>
    <w:rsid w:val="765E7F92"/>
    <w:rsid w:val="76CA1D50"/>
    <w:rsid w:val="76F438EE"/>
    <w:rsid w:val="773A6D6F"/>
    <w:rsid w:val="77A83410"/>
    <w:rsid w:val="77DE434D"/>
    <w:rsid w:val="77F331E8"/>
    <w:rsid w:val="784A7DD4"/>
    <w:rsid w:val="792F1081"/>
    <w:rsid w:val="794753EE"/>
    <w:rsid w:val="796A4FE1"/>
    <w:rsid w:val="79BA3054"/>
    <w:rsid w:val="7A736AB5"/>
    <w:rsid w:val="7A796401"/>
    <w:rsid w:val="7AB249C5"/>
    <w:rsid w:val="7B9F2135"/>
    <w:rsid w:val="7CC11575"/>
    <w:rsid w:val="7CFFE892"/>
    <w:rsid w:val="7EB669ED"/>
    <w:rsid w:val="7EF351F9"/>
    <w:rsid w:val="7FEDA08B"/>
    <w:rsid w:val="817F5B2A"/>
    <w:rsid w:val="BBFB3B1D"/>
    <w:rsid w:val="ED6F9FA9"/>
    <w:rsid w:val="EDED98B9"/>
    <w:rsid w:val="EFBB51E3"/>
    <w:rsid w:val="EFCD84D7"/>
    <w:rsid w:val="FE6F0402"/>
    <w:rsid w:val="FE7587EF"/>
    <w:rsid w:val="FEFF8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脚 Char"/>
    <w:basedOn w:val="9"/>
    <w:link w:val="6"/>
    <w:qFormat/>
    <w:uiPriority w:val="0"/>
    <w:rPr>
      <w:kern w:val="2"/>
      <w:sz w:val="18"/>
      <w:szCs w:val="18"/>
    </w:rPr>
  </w:style>
  <w:style w:type="character" w:customStyle="1" w:styleId="14">
    <w:name w:val="页眉 Char"/>
    <w:basedOn w:val="9"/>
    <w:link w:val="7"/>
    <w:qFormat/>
    <w:uiPriority w:val="0"/>
    <w:rPr>
      <w:kern w:val="2"/>
      <w:sz w:val="18"/>
      <w:szCs w:val="18"/>
    </w:rPr>
  </w:style>
  <w:style w:type="paragraph" w:customStyle="1" w:styleId="15">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869</Words>
  <Characters>912</Characters>
  <Lines>1</Lines>
  <Paragraphs>1</Paragraphs>
  <TotalTime>118</TotalTime>
  <ScaleCrop>false</ScaleCrop>
  <LinksUpToDate>false</LinksUpToDate>
  <CharactersWithSpaces>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2014-05-25T09:22:00Z</dcterms:created>
  <dc:creator>张明蕾</dc:creator>
  <cp:lastModifiedBy>dell</cp:lastModifiedBy>
  <cp:lastPrinted>2021-04-25T01:59:00Z</cp:lastPrinted>
  <dcterms:modified xsi:type="dcterms:W3CDTF">2025-04-30T03:18:08Z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D6EF82D9D7F849BABF4AA087213B6BBB_13</vt:lpwstr>
  </property>
  <property fmtid="{D5CDD505-2E9C-101B-9397-08002B2CF9AE}" pid="4" name="KSOTemplateDocerSaveRecord">
    <vt:lpwstr>eyJoZGlkIjoiMzU4Y2IxYWRjN2EzMDcyYTNjZmRhN2U4ZWRiYWRmNGEiLCJ1c2VySWQiOiI1MTk5NDE2ODYifQ==</vt:lpwstr>
  </property>
</Properties>
</file>