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A9B150">
      <w:pPr>
        <w:spacing w:line="360" w:lineRule="auto"/>
      </w:pPr>
    </w:p>
    <w:p w14:paraId="1085F641">
      <w:pPr>
        <w:spacing w:line="360" w:lineRule="auto"/>
      </w:pPr>
    </w:p>
    <w:p w14:paraId="3D2F4A12">
      <w:pPr>
        <w:spacing w:line="360" w:lineRule="auto"/>
      </w:pPr>
    </w:p>
    <w:p w14:paraId="32A01BC4">
      <w:pPr>
        <w:spacing w:line="360" w:lineRule="auto"/>
        <w:jc w:val="center"/>
        <w:rPr>
          <w:rFonts w:ascii="仿宋_GB2312"/>
        </w:rPr>
      </w:pPr>
      <w:bookmarkStart w:id="5" w:name="_GoBack"/>
      <w:bookmarkEnd w:id="5"/>
    </w:p>
    <w:p w14:paraId="4069B228">
      <w:pPr>
        <w:autoSpaceDE w:val="0"/>
        <w:autoSpaceDN w:val="0"/>
        <w:jc w:val="center"/>
        <w:rPr>
          <w:rFonts w:ascii="Times New Roman" w:hAnsi="Times New Roman"/>
        </w:rPr>
      </w:pPr>
      <w:r>
        <w:rPr>
          <w:rFonts w:hint="eastAsia" w:ascii="Times New Roman" w:hAnsi="Times New Roman"/>
          <w:lang w:val="zh-CN"/>
        </w:rPr>
        <w:t xml:space="preserve">津滨审批二室准〔2025〕133号 </w:t>
      </w:r>
    </w:p>
    <w:p w14:paraId="665BD576">
      <w:pPr>
        <w:spacing w:line="360" w:lineRule="auto"/>
        <w:jc w:val="center"/>
        <w:rPr>
          <w:rFonts w:ascii="Times New Roman" w:hAnsi="Times New Roman"/>
          <w:color w:val="FF0000"/>
        </w:rPr>
      </w:pPr>
      <w:r>
        <w:rPr>
          <w:rFonts w:ascii="Times New Roman"/>
          <w:color w:val="000000"/>
        </w:rPr>
        <w:t>项目代码：</w:t>
      </w:r>
      <w:r>
        <w:rPr>
          <w:rFonts w:hint="eastAsia" w:ascii="Times New Roman"/>
        </w:rPr>
        <w:t>2401-120116-89-05-557596</w:t>
      </w:r>
    </w:p>
    <w:p w14:paraId="5C003AC5">
      <w:pPr>
        <w:pStyle w:val="12"/>
        <w:spacing w:line="360" w:lineRule="auto"/>
        <w:jc w:val="center"/>
        <w:rPr>
          <w:rFonts w:eastAsia="方正小标宋简体"/>
          <w:color w:val="000000"/>
          <w:sz w:val="44"/>
        </w:rPr>
      </w:pPr>
    </w:p>
    <w:p w14:paraId="18D5321B">
      <w:pPr>
        <w:pStyle w:val="12"/>
        <w:spacing w:line="600" w:lineRule="exact"/>
        <w:jc w:val="center"/>
        <w:rPr>
          <w:rFonts w:eastAsia="方正小标宋简体"/>
          <w:color w:val="000000"/>
          <w:sz w:val="44"/>
        </w:rPr>
      </w:pPr>
      <w:bookmarkStart w:id="0" w:name="OLE_LINK2"/>
      <w:r>
        <w:rPr>
          <w:rFonts w:hint="eastAsia" w:eastAsia="方正小标宋简体"/>
          <w:color w:val="000000"/>
          <w:sz w:val="44"/>
        </w:rPr>
        <w:t>关于</w:t>
      </w:r>
      <w:bookmarkStart w:id="1" w:name="OLE_LINK1"/>
      <w:r>
        <w:rPr>
          <w:rFonts w:hint="eastAsia" w:eastAsia="方正小标宋简体"/>
          <w:bCs/>
          <w:color w:val="000000"/>
          <w:sz w:val="44"/>
        </w:rPr>
        <w:t>天津港第四港埠有限公司22-24#泊位码头升级改造工程</w:t>
      </w:r>
      <w:bookmarkEnd w:id="1"/>
      <w:r>
        <w:rPr>
          <w:rFonts w:eastAsia="方正小标宋简体"/>
          <w:color w:val="000000"/>
          <w:sz w:val="44"/>
        </w:rPr>
        <w:t>环境影响报告</w:t>
      </w:r>
      <w:r>
        <w:rPr>
          <w:rFonts w:hint="eastAsia" w:eastAsia="方正小标宋简体"/>
          <w:color w:val="000000"/>
          <w:sz w:val="44"/>
        </w:rPr>
        <w:t>书</w:t>
      </w:r>
      <w:r>
        <w:rPr>
          <w:rFonts w:eastAsia="方正小标宋简体"/>
          <w:color w:val="000000"/>
          <w:sz w:val="44"/>
        </w:rPr>
        <w:t>的批复</w:t>
      </w:r>
    </w:p>
    <w:bookmarkEnd w:id="0"/>
    <w:p w14:paraId="1A82B0DD">
      <w:pPr>
        <w:spacing w:line="360" w:lineRule="auto"/>
        <w:jc w:val="center"/>
        <w:rPr>
          <w:color w:val="000000"/>
          <w:sz w:val="44"/>
        </w:rPr>
      </w:pPr>
    </w:p>
    <w:p w14:paraId="0FE63CDE">
      <w:pPr>
        <w:pStyle w:val="12"/>
        <w:spacing w:line="360" w:lineRule="auto"/>
        <w:rPr>
          <w:sz w:val="32"/>
          <w:szCs w:val="32"/>
        </w:rPr>
      </w:pPr>
      <w:r>
        <w:rPr>
          <w:rFonts w:hint="eastAsia"/>
          <w:bCs/>
          <w:sz w:val="32"/>
          <w:szCs w:val="32"/>
        </w:rPr>
        <w:t>天津港第四港埠有限公司</w:t>
      </w:r>
      <w:r>
        <w:rPr>
          <w:sz w:val="32"/>
          <w:szCs w:val="32"/>
        </w:rPr>
        <w:t>：</w:t>
      </w:r>
    </w:p>
    <w:p w14:paraId="72CA335F">
      <w:pPr>
        <w:pStyle w:val="12"/>
        <w:spacing w:line="360" w:lineRule="auto"/>
        <w:ind w:firstLine="662" w:firstLineChars="207"/>
        <w:rPr>
          <w:sz w:val="32"/>
          <w:szCs w:val="32"/>
        </w:rPr>
      </w:pPr>
      <w:r>
        <w:rPr>
          <w:sz w:val="32"/>
          <w:szCs w:val="32"/>
        </w:rPr>
        <w:t>你公司提交的《关于</w:t>
      </w:r>
      <w:r>
        <w:rPr>
          <w:rFonts w:hint="eastAsia"/>
          <w:sz w:val="32"/>
          <w:szCs w:val="32"/>
        </w:rPr>
        <w:t>报批</w:t>
      </w:r>
      <w:r>
        <w:rPr>
          <w:rFonts w:hint="eastAsia"/>
          <w:bCs/>
          <w:sz w:val="32"/>
          <w:szCs w:val="32"/>
        </w:rPr>
        <w:t>天津港第四港埠有限公司22-24#泊位码头升级改造工程</w:t>
      </w:r>
      <w:r>
        <w:rPr>
          <w:sz w:val="32"/>
          <w:szCs w:val="32"/>
        </w:rPr>
        <w:t>环境影响报告</w:t>
      </w:r>
      <w:r>
        <w:rPr>
          <w:rFonts w:hint="eastAsia"/>
          <w:sz w:val="32"/>
          <w:szCs w:val="32"/>
        </w:rPr>
        <w:t>书的请示</w:t>
      </w:r>
      <w:r>
        <w:rPr>
          <w:sz w:val="32"/>
          <w:szCs w:val="32"/>
        </w:rPr>
        <w:t>》、天津环科环境咨询有限公司《关于</w:t>
      </w:r>
      <w:r>
        <w:rPr>
          <w:rFonts w:hint="eastAsia"/>
          <w:bCs/>
          <w:sz w:val="32"/>
          <w:szCs w:val="32"/>
        </w:rPr>
        <w:t>天津港第四港埠有限公司22-24#泊位码头升级改造工程</w:t>
      </w:r>
      <w:r>
        <w:rPr>
          <w:sz w:val="32"/>
          <w:szCs w:val="32"/>
        </w:rPr>
        <w:t>环境影响报告</w:t>
      </w:r>
      <w:r>
        <w:rPr>
          <w:rFonts w:hint="eastAsia"/>
          <w:sz w:val="32"/>
          <w:szCs w:val="32"/>
        </w:rPr>
        <w:t>书</w:t>
      </w:r>
      <w:r>
        <w:rPr>
          <w:sz w:val="32"/>
          <w:szCs w:val="32"/>
        </w:rPr>
        <w:t>的技术评估报告》（新区评估书[202</w:t>
      </w:r>
      <w:r>
        <w:rPr>
          <w:rFonts w:hint="eastAsia"/>
          <w:sz w:val="32"/>
          <w:szCs w:val="32"/>
        </w:rPr>
        <w:t>4</w:t>
      </w:r>
      <w:r>
        <w:rPr>
          <w:sz w:val="32"/>
          <w:szCs w:val="32"/>
        </w:rPr>
        <w:t>]</w:t>
      </w:r>
      <w:r>
        <w:rPr>
          <w:rFonts w:hint="eastAsia"/>
          <w:sz w:val="32"/>
          <w:szCs w:val="32"/>
        </w:rPr>
        <w:t>010</w:t>
      </w:r>
      <w:r>
        <w:rPr>
          <w:sz w:val="32"/>
          <w:szCs w:val="32"/>
        </w:rPr>
        <w:t>号，以下简称“评估报告”）</w:t>
      </w:r>
      <w:r>
        <w:rPr>
          <w:rFonts w:hint="eastAsia"/>
          <w:sz w:val="32"/>
          <w:szCs w:val="32"/>
        </w:rPr>
        <w:t>、</w:t>
      </w:r>
      <w:r>
        <w:rPr>
          <w:sz w:val="32"/>
          <w:szCs w:val="32"/>
        </w:rPr>
        <w:t>天科院环境科技发展（天津）有限公司《</w:t>
      </w:r>
      <w:r>
        <w:rPr>
          <w:rFonts w:hint="eastAsia"/>
          <w:bCs/>
          <w:sz w:val="32"/>
          <w:szCs w:val="32"/>
        </w:rPr>
        <w:t>天津港第四港埠有限公司22-24#泊位码头升级改造工程</w:t>
      </w:r>
      <w:r>
        <w:rPr>
          <w:sz w:val="32"/>
          <w:szCs w:val="32"/>
        </w:rPr>
        <w:t>环境影响报告</w:t>
      </w:r>
      <w:r>
        <w:rPr>
          <w:rFonts w:hint="eastAsia"/>
          <w:sz w:val="32"/>
          <w:szCs w:val="32"/>
        </w:rPr>
        <w:t>书</w:t>
      </w:r>
      <w:r>
        <w:rPr>
          <w:sz w:val="32"/>
          <w:szCs w:val="32"/>
        </w:rPr>
        <w:t>》及相关材料收悉。经研究，现批复如下：</w:t>
      </w:r>
    </w:p>
    <w:p w14:paraId="4428F7D2">
      <w:pPr>
        <w:adjustRightInd w:val="0"/>
        <w:snapToGrid w:val="0"/>
        <w:spacing w:line="360" w:lineRule="auto"/>
        <w:ind w:firstLine="640" w:firstLineChars="200"/>
        <w:rPr>
          <w:bCs/>
          <w:color w:val="000000"/>
          <w:kern w:val="0"/>
        </w:rPr>
      </w:pPr>
      <w:r>
        <w:rPr>
          <w:rFonts w:hint="eastAsia"/>
        </w:rPr>
        <w:t>一、</w:t>
      </w:r>
      <w:r>
        <w:t>你公司</w:t>
      </w:r>
      <w:r>
        <w:rPr>
          <w:bCs/>
        </w:rPr>
        <w:t>拟投资88066.56万元人民币</w:t>
      </w:r>
      <w:r>
        <w:rPr>
          <w:rFonts w:hint="eastAsia"/>
          <w:bCs/>
        </w:rPr>
        <w:t>建设“天津港第四港埠有限公司22-24#泊位码头升级改造工程”</w:t>
      </w:r>
      <w:r>
        <w:t>项目（以下简称</w:t>
      </w:r>
      <w:r>
        <w:rPr>
          <w:rFonts w:hint="eastAsia"/>
        </w:rPr>
        <w:t>“</w:t>
      </w:r>
      <w:r>
        <w:t>项目</w:t>
      </w:r>
      <w:r>
        <w:rPr>
          <w:rFonts w:hint="eastAsia"/>
        </w:rPr>
        <w:t>”</w:t>
      </w:r>
      <w:r>
        <w:t>）。项目主要建设内容为：</w:t>
      </w:r>
      <w:r>
        <w:rPr>
          <w:rFonts w:hint="eastAsia"/>
        </w:rPr>
        <w:t>对</w:t>
      </w:r>
      <w:r>
        <w:rPr>
          <w:rFonts w:hint="eastAsia"/>
          <w:bCs/>
        </w:rPr>
        <w:t>位于天津市滨海新区天津港北疆港区、第三港池东岸、三突堤西侧的</w:t>
      </w:r>
      <w:r>
        <w:rPr>
          <w:rFonts w:hint="eastAsia"/>
        </w:rPr>
        <w:t>现有</w:t>
      </w:r>
      <w:bookmarkStart w:id="2" w:name="OLE_LINK5"/>
      <w:r>
        <w:rPr>
          <w:rFonts w:hint="eastAsia"/>
          <w:bCs/>
          <w:color w:val="000000"/>
          <w:kern w:val="0"/>
        </w:rPr>
        <w:t>22-24#泊位</w:t>
      </w:r>
      <w:bookmarkEnd w:id="2"/>
      <w:r>
        <w:rPr>
          <w:rFonts w:hint="eastAsia"/>
          <w:bCs/>
          <w:color w:val="000000"/>
          <w:kern w:val="0"/>
        </w:rPr>
        <w:t>进行改造，</w:t>
      </w:r>
      <w:r>
        <w:rPr>
          <w:rFonts w:hint="eastAsia"/>
          <w:bCs/>
          <w:color w:val="000000"/>
          <w:kern w:val="0"/>
          <w:lang w:bidi="en-US"/>
        </w:rPr>
        <w:t>将7万吨级通用散杂泊位升级改造为25万吨级通用散杂泊位</w:t>
      </w:r>
      <w:r>
        <w:rPr>
          <w:rFonts w:hint="eastAsia"/>
        </w:rPr>
        <w:t>。</w:t>
      </w:r>
      <w:bookmarkStart w:id="3" w:name="OLE_LINK8"/>
      <w:r>
        <w:rPr>
          <w:rFonts w:hint="eastAsia"/>
        </w:rPr>
        <w:t>项目</w:t>
      </w:r>
      <w:r>
        <w:rPr>
          <w:rFonts w:hint="eastAsia"/>
          <w:bCs/>
          <w:color w:val="000000"/>
          <w:kern w:val="0"/>
        </w:rPr>
        <w:t>在现状22-24#泊位向海侧新增24.48米宽的前承台，采用高桩梁板式结构，码头岸线长度由534米增加至540.9米；对原有码头及配套设施进行改造</w:t>
      </w:r>
      <w:bookmarkEnd w:id="3"/>
      <w:r>
        <w:rPr>
          <w:rFonts w:hint="eastAsia"/>
          <w:bCs/>
          <w:color w:val="000000"/>
          <w:kern w:val="0"/>
        </w:rPr>
        <w:t>；对码头前沿停泊、港池等区域进行疏浚。</w:t>
      </w:r>
      <w:r>
        <w:rPr>
          <w:rFonts w:hint="eastAsia"/>
          <w:bCs/>
          <w:lang w:bidi="en-US"/>
        </w:rPr>
        <w:t>项目实施后：</w:t>
      </w:r>
      <w:r>
        <w:rPr>
          <w:bCs/>
          <w:lang w:bidi="en-US"/>
        </w:rPr>
        <w:t>22-24#</w:t>
      </w:r>
      <w:r>
        <w:rPr>
          <w:rFonts w:hint="eastAsia"/>
          <w:bCs/>
          <w:lang w:bidi="en-US"/>
        </w:rPr>
        <w:t>泊位可满足1艘25万吨级散货船和1艘5千吨级散货船同时停靠，或2艘7万吨级散货船同时停靠。</w:t>
      </w:r>
      <w:r>
        <w:rPr>
          <w:rFonts w:hint="eastAsia"/>
          <w:bCs/>
          <w:color w:val="000000"/>
          <w:kern w:val="0"/>
        </w:rPr>
        <w:t>22-24#泊位设计年吞吐能力由650万吨提升至1200万吨，其中新增化肥150万吨、有色金属矿（锰矿、铬矿）900万吨，钢材</w:t>
      </w:r>
      <w:bookmarkStart w:id="4" w:name="OLE_LINK11"/>
      <w:r>
        <w:rPr>
          <w:rFonts w:hint="eastAsia"/>
          <w:bCs/>
          <w:color w:val="000000"/>
          <w:kern w:val="0"/>
        </w:rPr>
        <w:t>由530万吨调整为100万吨</w:t>
      </w:r>
      <w:bookmarkEnd w:id="4"/>
      <w:r>
        <w:rPr>
          <w:rFonts w:hint="eastAsia"/>
          <w:bCs/>
          <w:color w:val="000000"/>
          <w:kern w:val="0"/>
        </w:rPr>
        <w:t>，其他杂货（矾土、塑料、树脂）由70万吨调整为50万吨，不再装卸矿建材料（砂石料）和粮食。钢材、化肥仅装船；其他杂货进行装船和卸船；有色金属矿仅卸船，且卸船后直接外运，不堆存。</w:t>
      </w:r>
    </w:p>
    <w:p w14:paraId="6CECE5C3">
      <w:pPr>
        <w:pStyle w:val="12"/>
        <w:spacing w:line="360" w:lineRule="auto"/>
        <w:ind w:firstLine="640" w:firstLineChars="200"/>
        <w:rPr>
          <w:color w:val="FF0000"/>
          <w:sz w:val="32"/>
          <w:szCs w:val="32"/>
        </w:rPr>
      </w:pPr>
      <w:r>
        <w:rPr>
          <w:bCs/>
          <w:sz w:val="32"/>
          <w:szCs w:val="32"/>
        </w:rPr>
        <w:t>项目环保投资484.5998万元人民币，占投资总额的</w:t>
      </w:r>
      <w:r>
        <w:rPr>
          <w:rFonts w:hint="eastAsia"/>
          <w:bCs/>
          <w:sz w:val="32"/>
          <w:szCs w:val="32"/>
        </w:rPr>
        <w:t>0.55</w:t>
      </w:r>
      <w:r>
        <w:rPr>
          <w:bCs/>
          <w:sz w:val="32"/>
          <w:szCs w:val="32"/>
        </w:rPr>
        <w:t>%，预计于20</w:t>
      </w:r>
      <w:r>
        <w:rPr>
          <w:rFonts w:hint="eastAsia"/>
          <w:bCs/>
          <w:sz w:val="32"/>
          <w:szCs w:val="32"/>
        </w:rPr>
        <w:t>27</w:t>
      </w:r>
      <w:r>
        <w:rPr>
          <w:bCs/>
          <w:sz w:val="32"/>
          <w:szCs w:val="32"/>
        </w:rPr>
        <w:t>年</w:t>
      </w:r>
      <w:r>
        <w:rPr>
          <w:rFonts w:hint="eastAsia"/>
          <w:bCs/>
          <w:sz w:val="32"/>
          <w:szCs w:val="32"/>
        </w:rPr>
        <w:t>4</w:t>
      </w:r>
      <w:r>
        <w:rPr>
          <w:bCs/>
          <w:sz w:val="32"/>
          <w:szCs w:val="32"/>
        </w:rPr>
        <w:t>月竣工。</w:t>
      </w:r>
    </w:p>
    <w:p w14:paraId="68ACE62F">
      <w:pPr>
        <w:pStyle w:val="12"/>
        <w:spacing w:line="360" w:lineRule="auto"/>
        <w:ind w:firstLine="662" w:firstLineChars="207"/>
        <w:rPr>
          <w:sz w:val="32"/>
          <w:szCs w:val="32"/>
        </w:rPr>
      </w:pPr>
      <w:r>
        <w:rPr>
          <w:sz w:val="32"/>
          <w:szCs w:val="32"/>
        </w:rPr>
        <w:t>202</w:t>
      </w:r>
      <w:r>
        <w:rPr>
          <w:rFonts w:hint="eastAsia"/>
          <w:sz w:val="32"/>
          <w:szCs w:val="32"/>
        </w:rPr>
        <w:t>5</w:t>
      </w:r>
      <w:r>
        <w:rPr>
          <w:sz w:val="32"/>
          <w:szCs w:val="32"/>
        </w:rPr>
        <w:t>年</w:t>
      </w:r>
      <w:r>
        <w:rPr>
          <w:rFonts w:hint="eastAsia"/>
          <w:sz w:val="32"/>
          <w:szCs w:val="32"/>
        </w:rPr>
        <w:t>3</w:t>
      </w:r>
      <w:r>
        <w:rPr>
          <w:sz w:val="32"/>
          <w:szCs w:val="32"/>
        </w:rPr>
        <w:t>月</w:t>
      </w:r>
      <w:r>
        <w:rPr>
          <w:rFonts w:hint="eastAsia"/>
          <w:sz w:val="32"/>
          <w:szCs w:val="32"/>
        </w:rPr>
        <w:t>21</w:t>
      </w:r>
      <w:r>
        <w:rPr>
          <w:sz w:val="32"/>
          <w:szCs w:val="32"/>
        </w:rPr>
        <w:t>日至</w:t>
      </w:r>
      <w:r>
        <w:rPr>
          <w:rFonts w:hint="eastAsia"/>
          <w:sz w:val="32"/>
          <w:szCs w:val="32"/>
        </w:rPr>
        <w:t>4</w:t>
      </w:r>
      <w:r>
        <w:rPr>
          <w:sz w:val="32"/>
          <w:szCs w:val="32"/>
        </w:rPr>
        <w:t>月</w:t>
      </w:r>
      <w:r>
        <w:rPr>
          <w:rFonts w:hint="eastAsia"/>
          <w:sz w:val="32"/>
          <w:szCs w:val="32"/>
        </w:rPr>
        <w:t>3</w:t>
      </w:r>
      <w:r>
        <w:rPr>
          <w:sz w:val="32"/>
          <w:szCs w:val="32"/>
        </w:rPr>
        <w:t>日，我局将该项目受理情况进行公示；</w:t>
      </w:r>
      <w:r>
        <w:rPr>
          <w:rFonts w:hint="eastAsia"/>
          <w:sz w:val="32"/>
          <w:szCs w:val="32"/>
        </w:rPr>
        <w:t>4</w:t>
      </w:r>
      <w:r>
        <w:rPr>
          <w:sz w:val="32"/>
          <w:szCs w:val="32"/>
        </w:rPr>
        <w:t>月</w:t>
      </w:r>
      <w:r>
        <w:rPr>
          <w:rFonts w:hint="eastAsia"/>
          <w:sz w:val="32"/>
          <w:szCs w:val="32"/>
        </w:rPr>
        <w:t>15</w:t>
      </w:r>
      <w:r>
        <w:rPr>
          <w:sz w:val="32"/>
          <w:szCs w:val="32"/>
        </w:rPr>
        <w:t>日至</w:t>
      </w:r>
      <w:r>
        <w:rPr>
          <w:rFonts w:hint="eastAsia"/>
          <w:sz w:val="32"/>
          <w:szCs w:val="32"/>
        </w:rPr>
        <w:t>4</w:t>
      </w:r>
      <w:r>
        <w:rPr>
          <w:sz w:val="32"/>
          <w:szCs w:val="32"/>
        </w:rPr>
        <w:t>月</w:t>
      </w:r>
      <w:r>
        <w:rPr>
          <w:rFonts w:hint="eastAsia"/>
          <w:sz w:val="32"/>
          <w:szCs w:val="32"/>
        </w:rPr>
        <w:t>21</w:t>
      </w:r>
      <w:r>
        <w:rPr>
          <w:sz w:val="32"/>
          <w:szCs w:val="32"/>
        </w:rPr>
        <w:t>日，将该项目拟批复情况进行公示；根据公众反馈意见情况及环评报告结论，在严格落实环评报告所提出的各项污染防治措施、确保各类污染物稳定达标的前提下，同意该</w:t>
      </w:r>
      <w:r>
        <w:rPr>
          <w:rFonts w:hint="eastAsia"/>
          <w:sz w:val="32"/>
          <w:szCs w:val="32"/>
        </w:rPr>
        <w:t>项目</w:t>
      </w:r>
      <w:r>
        <w:rPr>
          <w:sz w:val="32"/>
          <w:szCs w:val="32"/>
        </w:rPr>
        <w:t>建设。</w:t>
      </w:r>
    </w:p>
    <w:p w14:paraId="17A55EBB">
      <w:pPr>
        <w:spacing w:line="360" w:lineRule="auto"/>
        <w:ind w:firstLine="640" w:firstLineChars="200"/>
        <w:textAlignment w:val="baseline"/>
        <w:rPr>
          <w:rFonts w:ascii="Times New Roman" w:hAnsi="Times New Roman"/>
        </w:rPr>
      </w:pPr>
      <w:r>
        <w:rPr>
          <w:rFonts w:hint="eastAsia" w:ascii="Times New Roman"/>
        </w:rPr>
        <w:t>二、</w:t>
      </w:r>
      <w:r>
        <w:rPr>
          <w:rFonts w:ascii="Times New Roman"/>
        </w:rPr>
        <w:t>你公司应严格落实报告书所提出的各项污染防治与生态环境保护措施，重点做好以下工作：</w:t>
      </w:r>
    </w:p>
    <w:p w14:paraId="22187099">
      <w:pPr>
        <w:spacing w:line="360" w:lineRule="auto"/>
        <w:ind w:firstLine="640" w:firstLineChars="200"/>
        <w:rPr>
          <w:rFonts w:ascii="Times New Roman" w:hAnsi="Times New Roman"/>
        </w:rPr>
      </w:pPr>
      <w:r>
        <w:rPr>
          <w:rFonts w:hint="eastAsia" w:ascii="Times New Roman"/>
        </w:rPr>
        <w:t>1.</w:t>
      </w:r>
      <w:r>
        <w:rPr>
          <w:rFonts w:ascii="Times New Roman"/>
        </w:rPr>
        <w:t>加强施工期环境管理，优化施工方案，合理安排施工进度；严格控制悬浮泥沙产生量，同时避让辽东湾渤海湾莱州湾国家级水产种质资源保护区主要保护对象的生长繁育关键阶段；最大限度减少对海洋生物的影响。</w:t>
      </w:r>
    </w:p>
    <w:p w14:paraId="73A99337">
      <w:pPr>
        <w:spacing w:line="360" w:lineRule="auto"/>
        <w:ind w:firstLine="640" w:firstLineChars="200"/>
        <w:rPr>
          <w:rFonts w:ascii="Times New Roman" w:hAnsi="Times New Roman"/>
        </w:rPr>
      </w:pPr>
      <w:r>
        <w:rPr>
          <w:rFonts w:hint="eastAsia" w:ascii="Times New Roman"/>
        </w:rPr>
        <w:t>2.</w:t>
      </w:r>
      <w:r>
        <w:rPr>
          <w:rFonts w:ascii="Times New Roman"/>
        </w:rPr>
        <w:t>落实对施工扬尘、噪声等的各项污染防治措施；</w:t>
      </w:r>
      <w:r>
        <w:rPr>
          <w:rFonts w:hint="eastAsia" w:ascii="Times New Roman"/>
        </w:rPr>
        <w:t>施工船舶</w:t>
      </w:r>
      <w:r>
        <w:rPr>
          <w:rFonts w:ascii="Times New Roman"/>
        </w:rPr>
        <w:t>生活垃圾</w:t>
      </w:r>
      <w:r>
        <w:rPr>
          <w:rFonts w:hint="eastAsia" w:ascii="Times New Roman"/>
        </w:rPr>
        <w:t>、</w:t>
      </w:r>
      <w:r>
        <w:rPr>
          <w:rFonts w:ascii="Times New Roman"/>
        </w:rPr>
        <w:t>生活污水</w:t>
      </w:r>
      <w:r>
        <w:rPr>
          <w:rFonts w:hint="eastAsia" w:ascii="Times New Roman"/>
        </w:rPr>
        <w:t>、</w:t>
      </w:r>
      <w:r>
        <w:rPr>
          <w:rFonts w:ascii="Times New Roman"/>
        </w:rPr>
        <w:t>船舶</w:t>
      </w:r>
      <w:r>
        <w:rPr>
          <w:rFonts w:hint="eastAsia" w:ascii="Times New Roman"/>
        </w:rPr>
        <w:t>含</w:t>
      </w:r>
      <w:r>
        <w:rPr>
          <w:rFonts w:ascii="Times New Roman"/>
        </w:rPr>
        <w:t>油污水</w:t>
      </w:r>
      <w:r>
        <w:rPr>
          <w:rFonts w:hint="eastAsia" w:ascii="Times New Roman"/>
        </w:rPr>
        <w:t>接入接收设施后</w:t>
      </w:r>
      <w:r>
        <w:rPr>
          <w:rFonts w:ascii="Times New Roman"/>
        </w:rPr>
        <w:t>由有资质的单位接收处理，不得向海洋排放。项目</w:t>
      </w:r>
      <w:r>
        <w:rPr>
          <w:rFonts w:hint="eastAsia" w:ascii="Times New Roman"/>
        </w:rPr>
        <w:t>疏浚物部分由南疆港区纳泥区接收（其中</w:t>
      </w:r>
      <w:r>
        <w:rPr>
          <w:rFonts w:ascii="Times New Roman"/>
        </w:rPr>
        <w:t>N1</w:t>
      </w:r>
      <w:r>
        <w:rPr>
          <w:rFonts w:hint="eastAsia" w:ascii="Times New Roman"/>
        </w:rPr>
        <w:t>纳泥区须建设完善后方可依托使用）；其余部分在满足</w:t>
      </w:r>
      <w:r>
        <w:rPr>
          <w:rFonts w:hint="eastAsia"/>
        </w:rPr>
        <w:t>《海洋倾倒物质评价规范 疏浚物》（GB30980-2014）中清洁疏浚物（</w:t>
      </w:r>
      <w:r>
        <w:rPr>
          <w:rFonts w:ascii="Times New Roman"/>
        </w:rPr>
        <w:t>Ⅰ</w:t>
      </w:r>
      <w:r>
        <w:rPr>
          <w:rFonts w:hint="eastAsia"/>
        </w:rPr>
        <w:t>类）要求条件下</w:t>
      </w:r>
      <w:r>
        <w:rPr>
          <w:rFonts w:hint="eastAsia" w:ascii="Times New Roman"/>
        </w:rPr>
        <w:t>排放至已获批的海洋倾倒区，</w:t>
      </w:r>
      <w:r>
        <w:rPr>
          <w:rFonts w:hint="eastAsia" w:ascii="Times New Roman" w:hAnsi="Times New Roman"/>
          <w:lang w:bidi="en-US"/>
        </w:rPr>
        <w:t>具体以倾倒许可证为准</w:t>
      </w:r>
      <w:r>
        <w:rPr>
          <w:rFonts w:ascii="Times New Roman"/>
        </w:rPr>
        <w:t>。</w:t>
      </w:r>
    </w:p>
    <w:p w14:paraId="402D27F4">
      <w:pPr>
        <w:pStyle w:val="3"/>
        <w:snapToGrid w:val="0"/>
        <w:spacing w:line="360" w:lineRule="auto"/>
        <w:ind w:firstLine="640"/>
        <w:rPr>
          <w:bCs/>
        </w:rPr>
      </w:pPr>
      <w:r>
        <w:rPr>
          <w:rFonts w:hint="eastAsia" w:ascii="Times New Roman"/>
        </w:rPr>
        <w:t>3.运营期船舶</w:t>
      </w:r>
      <w:r>
        <w:rPr>
          <w:rFonts w:ascii="Times New Roman"/>
        </w:rPr>
        <w:t>生活垃圾</w:t>
      </w:r>
      <w:r>
        <w:rPr>
          <w:rFonts w:hint="eastAsia" w:ascii="Times New Roman"/>
        </w:rPr>
        <w:t>、</w:t>
      </w:r>
      <w:r>
        <w:rPr>
          <w:rFonts w:ascii="Times New Roman"/>
        </w:rPr>
        <w:t>生活污水</w:t>
      </w:r>
      <w:r>
        <w:rPr>
          <w:rFonts w:hint="eastAsia" w:ascii="Times New Roman"/>
        </w:rPr>
        <w:t>、</w:t>
      </w:r>
      <w:r>
        <w:rPr>
          <w:rFonts w:ascii="Times New Roman"/>
        </w:rPr>
        <w:t>船舶</w:t>
      </w:r>
      <w:r>
        <w:rPr>
          <w:rFonts w:hint="eastAsia" w:ascii="Times New Roman"/>
        </w:rPr>
        <w:t>含</w:t>
      </w:r>
      <w:r>
        <w:rPr>
          <w:rFonts w:ascii="Times New Roman"/>
        </w:rPr>
        <w:t>油污水由有资质的单位接收处理，不得向海洋排放</w:t>
      </w:r>
      <w:r>
        <w:rPr>
          <w:rFonts w:hint="eastAsia" w:ascii="Times New Roman"/>
        </w:rPr>
        <w:t>；</w:t>
      </w:r>
      <w:r>
        <w:rPr>
          <w:rFonts w:hint="eastAsia"/>
        </w:rPr>
        <w:t>码头冲洗水和初期雨水经收集后进入新增一套含尘污水处理设施处理后，全部回用，不外排。</w:t>
      </w:r>
      <w:r>
        <w:rPr>
          <w:rFonts w:hint="eastAsia"/>
          <w:bCs/>
        </w:rPr>
        <w:t>船舶压载水经压载水处理设施处理达到《国际船舶压载水和沉积物控制和管理公约》D-2标准限值要求后，在距最近陆地至少200海里、水深至少200米处排放。</w:t>
      </w:r>
    </w:p>
    <w:p w14:paraId="2BE40285">
      <w:pPr>
        <w:spacing w:line="360" w:lineRule="auto"/>
        <w:ind w:firstLine="640" w:firstLineChars="200"/>
      </w:pPr>
      <w:r>
        <w:rPr>
          <w:rFonts w:hint="eastAsia"/>
        </w:rPr>
        <w:t>加强码头作业过程粉尘无组织排放管理，通过采取射雾器抑尘、漏斗四周设置围挡封闭、雾炮车循环喷淋等措施，防止颗粒物无组织排放对周边环境影响产生影响，确保达标排放。</w:t>
      </w:r>
    </w:p>
    <w:p w14:paraId="7C5CA697">
      <w:pPr>
        <w:spacing w:line="360" w:lineRule="auto"/>
        <w:ind w:firstLine="640" w:firstLineChars="200"/>
      </w:pPr>
      <w:r>
        <w:rPr>
          <w:rFonts w:hint="eastAsia"/>
        </w:rPr>
        <w:t>合理布局，选用低噪声设备，</w:t>
      </w:r>
      <w:r>
        <w:t>对产噪设备实施减振</w:t>
      </w:r>
      <w:r>
        <w:rPr>
          <w:rFonts w:hint="eastAsia"/>
        </w:rPr>
        <w:t>、消声、</w:t>
      </w:r>
      <w:r>
        <w:t>隔声等措施，确保厂界噪声达标。</w:t>
      </w:r>
    </w:p>
    <w:p w14:paraId="6103FD66">
      <w:pPr>
        <w:spacing w:line="360" w:lineRule="auto"/>
        <w:ind w:firstLine="640" w:firstLineChars="200"/>
        <w:rPr>
          <w:rFonts w:ascii="Times New Roman" w:hAnsi="Times New Roman"/>
          <w:color w:val="FF0000"/>
        </w:rPr>
      </w:pPr>
      <w:r>
        <w:rPr>
          <w:rFonts w:hint="eastAsia" w:ascii="Times New Roman"/>
        </w:rPr>
        <w:t>4. 落实报告书提出的海洋</w:t>
      </w:r>
      <w:r>
        <w:rPr>
          <w:rFonts w:ascii="Times New Roman"/>
        </w:rPr>
        <w:t>生态保护措施，</w:t>
      </w:r>
      <w:r>
        <w:rPr>
          <w:rFonts w:hint="eastAsia" w:ascii="Times New Roman"/>
        </w:rPr>
        <w:t>采取</w:t>
      </w:r>
      <w:r>
        <w:rPr>
          <w:rFonts w:ascii="Times New Roman"/>
        </w:rPr>
        <w:t>增殖放流</w:t>
      </w:r>
      <w:r>
        <w:rPr>
          <w:rFonts w:hint="eastAsia" w:ascii="Times New Roman"/>
        </w:rPr>
        <w:t>等方式做好生态补偿工作。</w:t>
      </w:r>
      <w:r>
        <w:rPr>
          <w:rFonts w:ascii="Times New Roman"/>
        </w:rPr>
        <w:t>落实报告</w:t>
      </w:r>
      <w:r>
        <w:rPr>
          <w:rFonts w:hint="eastAsia" w:ascii="Times New Roman"/>
        </w:rPr>
        <w:t>书</w:t>
      </w:r>
      <w:r>
        <w:rPr>
          <w:rFonts w:ascii="Times New Roman"/>
        </w:rPr>
        <w:t>提出的环境监测计划，</w:t>
      </w:r>
      <w:r>
        <w:rPr>
          <w:rFonts w:hint="eastAsia" w:ascii="Times New Roman"/>
        </w:rPr>
        <w:t>定期开展监测</w:t>
      </w:r>
      <w:r>
        <w:rPr>
          <w:rFonts w:ascii="Times New Roman"/>
        </w:rPr>
        <w:t>。</w:t>
      </w:r>
    </w:p>
    <w:p w14:paraId="0A951A7C">
      <w:pPr>
        <w:spacing w:line="360" w:lineRule="auto"/>
        <w:ind w:firstLine="640" w:firstLineChars="200"/>
        <w:rPr>
          <w:rFonts w:ascii="Times New Roman"/>
        </w:rPr>
      </w:pPr>
      <w:r>
        <w:rPr>
          <w:rFonts w:hint="eastAsia" w:ascii="Times New Roman"/>
        </w:rPr>
        <w:t>5.</w:t>
      </w:r>
      <w:r>
        <w:rPr>
          <w:rFonts w:ascii="Times New Roman"/>
        </w:rPr>
        <w:t xml:space="preserve"> 严格落实报告</w:t>
      </w:r>
      <w:r>
        <w:rPr>
          <w:rFonts w:hint="eastAsia" w:ascii="Times New Roman"/>
        </w:rPr>
        <w:t>书</w:t>
      </w:r>
      <w:r>
        <w:rPr>
          <w:rFonts w:ascii="Times New Roman"/>
        </w:rPr>
        <w:t>提出的风险事故的防范措施，加强对环境风险的防治工作，强化管理，</w:t>
      </w:r>
      <w:r>
        <w:rPr>
          <w:rFonts w:hint="eastAsia" w:ascii="Times New Roman"/>
        </w:rPr>
        <w:t>完善</w:t>
      </w:r>
      <w:r>
        <w:rPr>
          <w:rFonts w:ascii="Times New Roman"/>
        </w:rPr>
        <w:t>应急预案</w:t>
      </w:r>
      <w:r>
        <w:rPr>
          <w:rFonts w:hint="eastAsia" w:ascii="Times New Roman"/>
        </w:rPr>
        <w:t>并备案；同时做好与地方应急预案的衔接，</w:t>
      </w:r>
      <w:r>
        <w:rPr>
          <w:rFonts w:ascii="Times New Roman"/>
        </w:rPr>
        <w:t>统筹做好应急能力保障工作，防止发生环境事故和次生环境事故。</w:t>
      </w:r>
    </w:p>
    <w:p w14:paraId="3D783D75">
      <w:pPr>
        <w:spacing w:line="360" w:lineRule="auto"/>
        <w:ind w:firstLine="640" w:firstLineChars="200"/>
        <w:rPr>
          <w:rFonts w:ascii="Times New Roman" w:hAnsi="Times New Roman"/>
        </w:rPr>
      </w:pPr>
      <w:r>
        <w:rPr>
          <w:rFonts w:ascii="Times New Roman"/>
        </w:rPr>
        <w:t>三、项目建设应严格执行环境保护设施与主体工程同时设计、同时施工、同时投产使用的</w:t>
      </w:r>
      <w:r>
        <w:rPr>
          <w:rFonts w:ascii="Times New Roman" w:hAnsi="Times New Roman"/>
        </w:rPr>
        <w:t>“</w:t>
      </w:r>
      <w:r>
        <w:rPr>
          <w:rFonts w:ascii="Times New Roman"/>
        </w:rPr>
        <w:t>三同时</w:t>
      </w:r>
      <w:r>
        <w:rPr>
          <w:rFonts w:ascii="Times New Roman" w:hAnsi="Times New Roman"/>
        </w:rPr>
        <w:t>”</w:t>
      </w:r>
      <w:r>
        <w:rPr>
          <w:rFonts w:ascii="Times New Roman"/>
        </w:rPr>
        <w:t>管理制度。项目应按规定标准和程序开展环境保护验收，经验收合格后方可正式投入运营。</w:t>
      </w:r>
    </w:p>
    <w:p w14:paraId="0499DBD4">
      <w:pPr>
        <w:pStyle w:val="12"/>
        <w:spacing w:line="360" w:lineRule="auto"/>
        <w:ind w:firstLine="662" w:firstLineChars="207"/>
        <w:rPr>
          <w:sz w:val="32"/>
          <w:szCs w:val="32"/>
        </w:rPr>
      </w:pPr>
      <w:r>
        <w:rPr>
          <w:sz w:val="32"/>
          <w:szCs w:val="32"/>
        </w:rPr>
        <w:t>四、若建设项目发生重大变动，需重新报批建设项目的环境影响评价文件。</w:t>
      </w:r>
    </w:p>
    <w:p w14:paraId="048D27AF">
      <w:pPr>
        <w:pStyle w:val="12"/>
        <w:spacing w:line="360" w:lineRule="auto"/>
        <w:ind w:firstLine="662" w:firstLineChars="207"/>
        <w:rPr>
          <w:sz w:val="32"/>
          <w:szCs w:val="32"/>
        </w:rPr>
      </w:pPr>
      <w:r>
        <w:rPr>
          <w:rFonts w:hint="eastAsia"/>
          <w:sz w:val="32"/>
          <w:szCs w:val="32"/>
        </w:rPr>
        <w:t>五、你公司应</w:t>
      </w:r>
      <w:r>
        <w:rPr>
          <w:rFonts w:hint="eastAsia" w:ascii="仿宋_GB2312" w:cs="仿宋_GB2312"/>
          <w:sz w:val="32"/>
          <w:szCs w:val="32"/>
          <w:shd w:val="clear" w:color="auto" w:fill="FFFFFF"/>
        </w:rPr>
        <w:t>在启动生产设施或者在实际排污之前按照法律法规要求做好排污许可管理相关工作。</w:t>
      </w:r>
    </w:p>
    <w:p w14:paraId="4D813D1B">
      <w:pPr>
        <w:pStyle w:val="12"/>
        <w:spacing w:line="360" w:lineRule="auto"/>
        <w:ind w:firstLine="662" w:firstLineChars="207"/>
        <w:rPr>
          <w:sz w:val="32"/>
          <w:szCs w:val="32"/>
        </w:rPr>
      </w:pPr>
      <w:r>
        <w:rPr>
          <w:rFonts w:hint="eastAsia"/>
          <w:sz w:val="32"/>
          <w:szCs w:val="32"/>
        </w:rPr>
        <w:t>六</w:t>
      </w:r>
      <w:r>
        <w:rPr>
          <w:sz w:val="32"/>
          <w:szCs w:val="32"/>
        </w:rPr>
        <w:t>、项目应执行以下标准：</w:t>
      </w:r>
    </w:p>
    <w:p w14:paraId="46E0F17C">
      <w:pPr>
        <w:spacing w:line="360" w:lineRule="auto"/>
        <w:ind w:firstLine="640" w:firstLineChars="200"/>
        <w:rPr>
          <w:rFonts w:ascii="Times New Roman" w:hAnsi="Times New Roman"/>
        </w:rPr>
      </w:pPr>
      <w:r>
        <w:rPr>
          <w:rFonts w:hint="eastAsia" w:ascii="Times New Roman" w:hAnsi="Times New Roman"/>
        </w:rPr>
        <w:t>1.《环境空气质量标准》（</w:t>
      </w:r>
      <w:r>
        <w:rPr>
          <w:rFonts w:ascii="Times New Roman" w:hAnsi="Times New Roman"/>
        </w:rPr>
        <w:t>GB3095-1996</w:t>
      </w:r>
      <w:r>
        <w:rPr>
          <w:rFonts w:hint="eastAsia" w:ascii="Times New Roman" w:hAnsi="Times New Roman"/>
        </w:rPr>
        <w:t>）二级；</w:t>
      </w:r>
    </w:p>
    <w:p w14:paraId="61818862">
      <w:pPr>
        <w:spacing w:line="360" w:lineRule="auto"/>
        <w:ind w:firstLine="640" w:firstLineChars="200"/>
        <w:rPr>
          <w:rFonts w:ascii="Times New Roman" w:hAnsi="Times New Roman"/>
        </w:rPr>
      </w:pPr>
      <w:r>
        <w:rPr>
          <w:rFonts w:hint="eastAsia" w:ascii="Times New Roman" w:hAnsi="Times New Roman"/>
        </w:rPr>
        <w:t>2.《声环境质量标准》（</w:t>
      </w:r>
      <w:r>
        <w:rPr>
          <w:rFonts w:ascii="Times New Roman" w:hAnsi="Times New Roman"/>
        </w:rPr>
        <w:t>GB3096-2008</w:t>
      </w:r>
      <w:r>
        <w:rPr>
          <w:rFonts w:hint="eastAsia" w:ascii="Times New Roman" w:hAnsi="Times New Roman"/>
        </w:rPr>
        <w:t>）</w:t>
      </w:r>
      <w:r>
        <w:rPr>
          <w:rFonts w:ascii="Times New Roman" w:hAnsi="Times New Roman"/>
        </w:rPr>
        <w:t>3</w:t>
      </w:r>
      <w:r>
        <w:rPr>
          <w:rFonts w:hint="eastAsia" w:ascii="Times New Roman" w:hAnsi="Times New Roman"/>
        </w:rPr>
        <w:t>类、4a类；</w:t>
      </w:r>
    </w:p>
    <w:p w14:paraId="6B7C3826">
      <w:pPr>
        <w:spacing w:line="360" w:lineRule="auto"/>
        <w:ind w:firstLine="640" w:firstLineChars="200"/>
        <w:rPr>
          <w:rFonts w:ascii="Times New Roman" w:hAnsi="Times New Roman"/>
        </w:rPr>
      </w:pPr>
      <w:r>
        <w:rPr>
          <w:rFonts w:hint="eastAsia" w:ascii="Times New Roman" w:hAnsi="Times New Roman"/>
        </w:rPr>
        <w:t>3.《海水水质标准》（</w:t>
      </w:r>
      <w:r>
        <w:rPr>
          <w:rFonts w:ascii="Times New Roman" w:hAnsi="Times New Roman"/>
        </w:rPr>
        <w:t>GB3097-1997</w:t>
      </w:r>
      <w:r>
        <w:rPr>
          <w:rFonts w:hint="eastAsia" w:ascii="Times New Roman" w:hAnsi="Times New Roman"/>
        </w:rPr>
        <w:t>）；</w:t>
      </w:r>
    </w:p>
    <w:p w14:paraId="2ED0BBCF">
      <w:pPr>
        <w:spacing w:line="360" w:lineRule="auto"/>
        <w:ind w:firstLine="640" w:firstLineChars="200"/>
        <w:rPr>
          <w:rFonts w:ascii="Times New Roman" w:hAnsi="Times New Roman"/>
        </w:rPr>
      </w:pPr>
      <w:r>
        <w:rPr>
          <w:rFonts w:hint="eastAsia" w:ascii="Times New Roman" w:hAnsi="Times New Roman"/>
        </w:rPr>
        <w:t>4.《海洋沉积物质量标准》（</w:t>
      </w:r>
      <w:r>
        <w:rPr>
          <w:rFonts w:ascii="Times New Roman" w:hAnsi="Times New Roman"/>
        </w:rPr>
        <w:t>GB18668-2002</w:t>
      </w:r>
      <w:r>
        <w:rPr>
          <w:rFonts w:hint="eastAsia" w:ascii="Times New Roman" w:hAnsi="Times New Roman"/>
        </w:rPr>
        <w:t>）；</w:t>
      </w:r>
    </w:p>
    <w:p w14:paraId="29A22515">
      <w:pPr>
        <w:spacing w:line="360" w:lineRule="auto"/>
        <w:ind w:firstLine="640" w:firstLineChars="200"/>
        <w:rPr>
          <w:rFonts w:ascii="Times New Roman" w:hAnsi="Times New Roman"/>
        </w:rPr>
      </w:pPr>
      <w:r>
        <w:rPr>
          <w:rFonts w:hint="eastAsia" w:ascii="Times New Roman" w:hAnsi="Times New Roman"/>
        </w:rPr>
        <w:t>5.《海洋生物质量》（</w:t>
      </w:r>
      <w:r>
        <w:rPr>
          <w:rFonts w:ascii="Times New Roman" w:hAnsi="Times New Roman"/>
        </w:rPr>
        <w:t>GB18421-2001</w:t>
      </w:r>
      <w:r>
        <w:rPr>
          <w:rFonts w:hint="eastAsia" w:ascii="Times New Roman" w:hAnsi="Times New Roman"/>
        </w:rPr>
        <w:t>）；</w:t>
      </w:r>
    </w:p>
    <w:p w14:paraId="48F6F32E">
      <w:pPr>
        <w:spacing w:line="360" w:lineRule="auto"/>
        <w:ind w:firstLine="640" w:firstLineChars="200"/>
        <w:rPr>
          <w:rFonts w:ascii="Times New Roman" w:hAnsi="Times New Roman"/>
        </w:rPr>
      </w:pPr>
      <w:r>
        <w:rPr>
          <w:rFonts w:hint="eastAsia"/>
        </w:rPr>
        <w:t>6.《全国海岸带和海涂资源综合调查简明规程》；</w:t>
      </w:r>
    </w:p>
    <w:p w14:paraId="4FB513C8">
      <w:pPr>
        <w:spacing w:line="360" w:lineRule="auto"/>
        <w:ind w:firstLine="640" w:firstLineChars="200"/>
        <w:rPr>
          <w:rFonts w:ascii="Times New Roman" w:hAnsi="Times New Roman"/>
        </w:rPr>
      </w:pPr>
      <w:r>
        <w:rPr>
          <w:rFonts w:hint="eastAsia" w:ascii="Times New Roman" w:hAnsi="Times New Roman"/>
        </w:rPr>
        <w:t>7.</w:t>
      </w:r>
      <w:r>
        <w:rPr>
          <w:rFonts w:hint="eastAsia"/>
        </w:rPr>
        <w:t>《第二次全国海洋污染基线调查技术规程》；</w:t>
      </w:r>
    </w:p>
    <w:p w14:paraId="11D79FDA">
      <w:pPr>
        <w:spacing w:line="360" w:lineRule="auto"/>
        <w:ind w:firstLine="640" w:firstLineChars="200"/>
        <w:rPr>
          <w:rFonts w:ascii="Times New Roman" w:hAnsi="Times New Roman"/>
        </w:rPr>
      </w:pPr>
      <w:r>
        <w:rPr>
          <w:rFonts w:hint="eastAsia" w:ascii="Times New Roman" w:hAnsi="Times New Roman"/>
        </w:rPr>
        <w:t>8.《大气污染物综合排放标准》（</w:t>
      </w:r>
      <w:r>
        <w:rPr>
          <w:rFonts w:ascii="Times New Roman" w:hAnsi="Times New Roman"/>
        </w:rPr>
        <w:t>GB16297-1996</w:t>
      </w:r>
      <w:r>
        <w:rPr>
          <w:rFonts w:hint="eastAsia" w:ascii="Times New Roman" w:hAnsi="Times New Roman"/>
        </w:rPr>
        <w:t>）；</w:t>
      </w:r>
    </w:p>
    <w:p w14:paraId="792FE71C">
      <w:pPr>
        <w:spacing w:line="360" w:lineRule="auto"/>
        <w:ind w:firstLine="640" w:firstLineChars="200"/>
        <w:rPr>
          <w:rFonts w:ascii="Times New Roman" w:hAnsi="Times New Roman"/>
        </w:rPr>
      </w:pPr>
      <w:r>
        <w:rPr>
          <w:rFonts w:hint="eastAsia" w:ascii="Times New Roman" w:hAnsi="Times New Roman"/>
        </w:rPr>
        <w:t>9.《建筑施工场界环境噪声排放标准》（</w:t>
      </w:r>
      <w:r>
        <w:rPr>
          <w:rFonts w:ascii="Times New Roman" w:hAnsi="Times New Roman"/>
        </w:rPr>
        <w:t>GB</w:t>
      </w:r>
      <w:r>
        <w:rPr>
          <w:rFonts w:hint="eastAsia" w:ascii="Times New Roman" w:hAnsi="Times New Roman"/>
        </w:rPr>
        <w:t>12523</w:t>
      </w:r>
      <w:r>
        <w:rPr>
          <w:rFonts w:ascii="Times New Roman" w:hAnsi="Times New Roman"/>
        </w:rPr>
        <w:t>0-20</w:t>
      </w:r>
      <w:r>
        <w:rPr>
          <w:rFonts w:hint="eastAsia" w:ascii="Times New Roman" w:hAnsi="Times New Roman"/>
        </w:rPr>
        <w:t>11）；</w:t>
      </w:r>
    </w:p>
    <w:p w14:paraId="1A1DFDE3">
      <w:pPr>
        <w:spacing w:line="360" w:lineRule="auto"/>
        <w:ind w:firstLine="640" w:firstLineChars="200"/>
        <w:rPr>
          <w:rFonts w:ascii="Times New Roman" w:hAnsi="Times New Roman"/>
        </w:rPr>
      </w:pPr>
      <w:r>
        <w:rPr>
          <w:rFonts w:hint="eastAsia" w:ascii="Times New Roman" w:hAnsi="Times New Roman"/>
        </w:rPr>
        <w:t>10《工业企业厂界环境噪声标准》（</w:t>
      </w:r>
      <w:r>
        <w:rPr>
          <w:rFonts w:ascii="Times New Roman" w:hAnsi="Times New Roman"/>
        </w:rPr>
        <w:t>GB12348-2008</w:t>
      </w:r>
      <w:r>
        <w:rPr>
          <w:rFonts w:hint="eastAsia" w:ascii="Times New Roman" w:hAnsi="Times New Roman"/>
        </w:rPr>
        <w:t>）</w:t>
      </w:r>
      <w:r>
        <w:rPr>
          <w:rFonts w:ascii="Times New Roman" w:hAnsi="Times New Roman"/>
        </w:rPr>
        <w:t>3</w:t>
      </w:r>
      <w:r>
        <w:rPr>
          <w:rFonts w:hint="eastAsia" w:ascii="Times New Roman" w:hAnsi="Times New Roman"/>
        </w:rPr>
        <w:t>类、4类；</w:t>
      </w:r>
    </w:p>
    <w:p w14:paraId="0DFAA848">
      <w:pPr>
        <w:spacing w:line="360" w:lineRule="auto"/>
        <w:ind w:firstLine="640" w:firstLineChars="200"/>
        <w:rPr>
          <w:rFonts w:ascii="Times New Roman" w:hAnsi="Times New Roman"/>
        </w:rPr>
      </w:pPr>
      <w:r>
        <w:rPr>
          <w:rFonts w:hint="eastAsia" w:ascii="Times New Roman" w:hAnsi="Times New Roman"/>
        </w:rPr>
        <w:t>11.《船舶水污染物排放控制标准》（</w:t>
      </w:r>
      <w:r>
        <w:rPr>
          <w:rFonts w:ascii="Times New Roman" w:hAnsi="Times New Roman"/>
        </w:rPr>
        <w:t>GB</w:t>
      </w:r>
      <w:r>
        <w:rPr>
          <w:rFonts w:hint="eastAsia" w:ascii="Times New Roman" w:hAnsi="Times New Roman"/>
        </w:rPr>
        <w:t>3552</w:t>
      </w:r>
      <w:r>
        <w:rPr>
          <w:rFonts w:ascii="Times New Roman" w:hAnsi="Times New Roman"/>
        </w:rPr>
        <w:t>-20</w:t>
      </w:r>
      <w:r>
        <w:rPr>
          <w:rFonts w:hint="eastAsia" w:ascii="Times New Roman" w:hAnsi="Times New Roman"/>
        </w:rPr>
        <w:t>18）。</w:t>
      </w:r>
    </w:p>
    <w:p w14:paraId="17255FF6">
      <w:pPr>
        <w:spacing w:line="360" w:lineRule="auto"/>
        <w:ind w:firstLine="640" w:firstLineChars="200"/>
        <w:rPr>
          <w:rFonts w:ascii="Times New Roman" w:hAnsi="Times New Roman"/>
        </w:rPr>
      </w:pPr>
      <w:r>
        <w:rPr>
          <w:rFonts w:ascii="Times New Roman"/>
        </w:rPr>
        <w:t>此复</w:t>
      </w:r>
    </w:p>
    <w:p w14:paraId="3A45B772">
      <w:pPr>
        <w:spacing w:line="360" w:lineRule="auto"/>
        <w:jc w:val="right"/>
        <w:rPr>
          <w:rFonts w:ascii="Times New Roman" w:hAnsi="Times New Roman"/>
        </w:rPr>
      </w:pPr>
    </w:p>
    <w:p w14:paraId="6BBB06FA">
      <w:pPr>
        <w:spacing w:line="360" w:lineRule="auto"/>
        <w:jc w:val="right"/>
        <w:rPr>
          <w:rFonts w:ascii="Times New Roman" w:hAnsi="Times New Roman"/>
        </w:rPr>
      </w:pPr>
    </w:p>
    <w:p w14:paraId="2F7010CE">
      <w:pPr>
        <w:spacing w:line="360" w:lineRule="auto"/>
        <w:jc w:val="right"/>
        <w:rPr>
          <w:rFonts w:ascii="Times New Roman" w:hAnsi="Times New Roman"/>
        </w:rPr>
      </w:pPr>
    </w:p>
    <w:p w14:paraId="40FC3D4A">
      <w:pPr>
        <w:spacing w:line="360" w:lineRule="auto"/>
        <w:jc w:val="right"/>
        <w:rPr>
          <w:rFonts w:ascii="Times New Roman" w:hAnsi="Times New Roman"/>
        </w:rPr>
      </w:pPr>
    </w:p>
    <w:p w14:paraId="241F42DF">
      <w:pPr>
        <w:spacing w:line="360" w:lineRule="auto"/>
        <w:jc w:val="right"/>
        <w:rPr>
          <w:rFonts w:ascii="Times New Roman" w:hAnsi="Times New Roman"/>
        </w:rPr>
      </w:pPr>
    </w:p>
    <w:p w14:paraId="33C46D2A">
      <w:pPr>
        <w:tabs>
          <w:tab w:val="left" w:pos="7513"/>
          <w:tab w:val="left" w:pos="7797"/>
        </w:tabs>
        <w:spacing w:line="360" w:lineRule="auto"/>
        <w:ind w:right="640"/>
        <w:jc w:val="center"/>
        <w:rPr>
          <w:rFonts w:ascii="Times New Roman"/>
        </w:rPr>
      </w:pPr>
      <w:r>
        <w:rPr>
          <w:rFonts w:hint="eastAsia" w:ascii="Times New Roman" w:hAnsi="Times New Roman"/>
        </w:rPr>
        <w:t xml:space="preserve">                              </w:t>
      </w:r>
      <w:r>
        <w:rPr>
          <w:rFonts w:ascii="Times New Roman" w:hAnsi="Times New Roman"/>
        </w:rPr>
        <w:t>202</w:t>
      </w:r>
      <w:r>
        <w:rPr>
          <w:rFonts w:hint="eastAsia" w:ascii="Times New Roman" w:hAnsi="Times New Roman"/>
        </w:rPr>
        <w:t>5</w:t>
      </w:r>
      <w:r>
        <w:rPr>
          <w:rFonts w:ascii="Times New Roman"/>
        </w:rPr>
        <w:t>年</w:t>
      </w:r>
      <w:r>
        <w:rPr>
          <w:rFonts w:hint="eastAsia" w:ascii="Times New Roman" w:hAnsi="Times New Roman"/>
        </w:rPr>
        <w:t xml:space="preserve"> 4</w:t>
      </w:r>
      <w:r>
        <w:rPr>
          <w:rFonts w:ascii="Times New Roman"/>
        </w:rPr>
        <w:t>月</w:t>
      </w:r>
      <w:r>
        <w:rPr>
          <w:rFonts w:hint="eastAsia" w:ascii="Times New Roman"/>
        </w:rPr>
        <w:t>22</w:t>
      </w:r>
      <w:r>
        <w:rPr>
          <w:rFonts w:ascii="Times New Roman"/>
        </w:rPr>
        <w:t>日</w:t>
      </w:r>
    </w:p>
    <w:p w14:paraId="50BE7341">
      <w:pPr>
        <w:spacing w:line="360" w:lineRule="auto"/>
        <w:jc w:val="right"/>
        <w:rPr>
          <w:rFonts w:ascii="Times New Roman"/>
        </w:rPr>
      </w:pPr>
    </w:p>
    <w:p w14:paraId="17BCD03B">
      <w:pPr>
        <w:spacing w:line="360" w:lineRule="auto"/>
        <w:jc w:val="right"/>
        <w:rPr>
          <w:rFonts w:ascii="Times New Roman"/>
        </w:rPr>
      </w:pPr>
    </w:p>
    <w:p w14:paraId="462C2527">
      <w:pPr>
        <w:spacing w:line="360" w:lineRule="auto"/>
        <w:jc w:val="right"/>
        <w:rPr>
          <w:rFonts w:ascii="Times New Roman"/>
        </w:rPr>
      </w:pPr>
    </w:p>
    <w:p w14:paraId="64DF1994">
      <w:pPr>
        <w:spacing w:line="360" w:lineRule="auto"/>
        <w:jc w:val="right"/>
        <w:rPr>
          <w:rFonts w:ascii="Times New Roman"/>
        </w:rPr>
      </w:pPr>
    </w:p>
    <w:p w14:paraId="0986CE07">
      <w:pPr>
        <w:spacing w:line="360" w:lineRule="auto"/>
        <w:jc w:val="right"/>
        <w:rPr>
          <w:rFonts w:ascii="Times New Roman"/>
        </w:rPr>
      </w:pPr>
    </w:p>
    <w:p w14:paraId="413E2B55">
      <w:pPr>
        <w:spacing w:line="360" w:lineRule="auto"/>
        <w:jc w:val="right"/>
        <w:rPr>
          <w:rFonts w:ascii="Times New Roman"/>
        </w:rPr>
      </w:pPr>
    </w:p>
    <w:p w14:paraId="1CC062DE">
      <w:pPr>
        <w:tabs>
          <w:tab w:val="left" w:pos="7088"/>
        </w:tabs>
        <w:spacing w:line="360" w:lineRule="auto"/>
      </w:pPr>
      <w:r>
        <w:rPr>
          <w:rFonts w:eastAsia="黑体"/>
        </w:rPr>
        <w:t>主题词：</w:t>
      </w:r>
      <w:r>
        <w:t>环境影响 报告</w:t>
      </w:r>
      <w:r>
        <w:rPr>
          <w:rFonts w:hint="eastAsia"/>
        </w:rPr>
        <w:t>书</w:t>
      </w:r>
      <w:r>
        <w:t xml:space="preserve"> 批复                （共印</w:t>
      </w:r>
      <w:r>
        <w:rPr>
          <w:rFonts w:hint="eastAsia"/>
        </w:rPr>
        <w:t>3</w:t>
      </w:r>
      <w:r>
        <w:t>份）</w:t>
      </w:r>
    </w:p>
    <w:tbl>
      <w:tblPr>
        <w:tblStyle w:val="9"/>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242"/>
        <w:gridCol w:w="3922"/>
        <w:gridCol w:w="3890"/>
      </w:tblGrid>
      <w:tr w14:paraId="56D071BB">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1242" w:type="dxa"/>
            <w:tcBorders>
              <w:top w:val="single" w:color="auto" w:sz="8" w:space="0"/>
              <w:bottom w:val="single" w:color="auto" w:sz="8" w:space="0"/>
            </w:tcBorders>
          </w:tcPr>
          <w:p w14:paraId="23100DAA">
            <w:pPr>
              <w:spacing w:line="360" w:lineRule="auto"/>
              <w:ind w:right="160"/>
              <w:jc w:val="right"/>
              <w:rPr>
                <w:rFonts w:eastAsia="黑体"/>
              </w:rPr>
            </w:pPr>
            <w:r>
              <w:rPr>
                <w:rFonts w:eastAsia="黑体"/>
              </w:rPr>
              <w:t>抄送：</w:t>
            </w:r>
          </w:p>
        </w:tc>
        <w:tc>
          <w:tcPr>
            <w:tcW w:w="7812" w:type="dxa"/>
            <w:gridSpan w:val="2"/>
            <w:tcBorders>
              <w:top w:val="single" w:color="auto" w:sz="8" w:space="0"/>
              <w:bottom w:val="single" w:color="auto" w:sz="8" w:space="0"/>
            </w:tcBorders>
          </w:tcPr>
          <w:p w14:paraId="264BB29D">
            <w:pPr>
              <w:spacing w:line="360" w:lineRule="auto"/>
            </w:pPr>
            <w:r>
              <w:t>天津市滨海新区</w:t>
            </w:r>
            <w:r>
              <w:rPr>
                <w:rFonts w:hint="eastAsia"/>
              </w:rPr>
              <w:t>生态</w:t>
            </w:r>
            <w:r>
              <w:t>环境局</w:t>
            </w:r>
          </w:p>
        </w:tc>
      </w:tr>
      <w:tr w14:paraId="0DD40BD7">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5164" w:type="dxa"/>
            <w:gridSpan w:val="2"/>
            <w:tcBorders>
              <w:top w:val="single" w:color="auto" w:sz="8" w:space="0"/>
            </w:tcBorders>
          </w:tcPr>
          <w:p w14:paraId="0672ADD0">
            <w:pPr>
              <w:spacing w:line="360" w:lineRule="auto"/>
            </w:pPr>
            <w:r>
              <w:rPr>
                <w:rFonts w:hint="eastAsia"/>
              </w:rPr>
              <w:t>天津市滨海新区行政审批局</w:t>
            </w:r>
          </w:p>
        </w:tc>
        <w:tc>
          <w:tcPr>
            <w:tcW w:w="3890" w:type="dxa"/>
            <w:tcBorders>
              <w:top w:val="single" w:color="auto" w:sz="8" w:space="0"/>
            </w:tcBorders>
          </w:tcPr>
          <w:p w14:paraId="50042E1C">
            <w:pPr>
              <w:spacing w:line="360" w:lineRule="auto"/>
              <w:ind w:right="320" w:rightChars="100"/>
              <w:jc w:val="right"/>
            </w:pPr>
            <w:r>
              <w:rPr>
                <w:rFonts w:ascii="Times New Roman" w:hAnsi="Times New Roman"/>
              </w:rPr>
              <w:t>20</w:t>
            </w:r>
            <w:r>
              <w:rPr>
                <w:rFonts w:hint="eastAsia" w:ascii="Times New Roman" w:hAnsi="Times New Roman"/>
              </w:rPr>
              <w:t>25</w:t>
            </w:r>
            <w:r>
              <w:rPr>
                <w:rFonts w:ascii="Times New Roman" w:hAnsi="Times New Roman"/>
              </w:rPr>
              <w:t>年</w:t>
            </w:r>
            <w:r>
              <w:rPr>
                <w:rFonts w:hint="eastAsia" w:ascii="Times New Roman" w:hAnsi="Times New Roman"/>
              </w:rPr>
              <w:t>4月22</w:t>
            </w:r>
            <w:r>
              <w:rPr>
                <w:rFonts w:ascii="Times New Roman" w:hAnsi="Times New Roman"/>
              </w:rPr>
              <w:t>日</w:t>
            </w:r>
            <w:r>
              <w:t>印发</w:t>
            </w:r>
          </w:p>
        </w:tc>
      </w:tr>
    </w:tbl>
    <w:p w14:paraId="1BE376F6"/>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sdtPr>
    <w:sdtContent>
      <w:p w14:paraId="11BA2CC0">
        <w:pPr>
          <w:pStyle w:val="8"/>
          <w:jc w:val="center"/>
        </w:pPr>
        <w:r>
          <w:fldChar w:fldCharType="begin"/>
        </w:r>
        <w:r>
          <w:instrText xml:space="preserve"> PAGE   \* MERGEFORMAT </w:instrText>
        </w:r>
        <w:r>
          <w:fldChar w:fldCharType="separate"/>
        </w:r>
        <w:r>
          <w:rPr>
            <w:lang w:val="zh-CN"/>
          </w:rPr>
          <w:t>5</w:t>
        </w:r>
        <w:r>
          <w:rPr>
            <w:lang w:val="zh-CN"/>
          </w:rPr>
          <w:fldChar w:fldCharType="end"/>
        </w:r>
      </w:p>
    </w:sdtContent>
  </w:sdt>
  <w:p w14:paraId="510CB5A2">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A8CA3">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E4B9D"/>
    <w:rsid w:val="000000ED"/>
    <w:rsid w:val="00000CDF"/>
    <w:rsid w:val="00002A0A"/>
    <w:rsid w:val="00002C12"/>
    <w:rsid w:val="000077E5"/>
    <w:rsid w:val="00017063"/>
    <w:rsid w:val="00017EFA"/>
    <w:rsid w:val="00021047"/>
    <w:rsid w:val="00024412"/>
    <w:rsid w:val="00024787"/>
    <w:rsid w:val="00032953"/>
    <w:rsid w:val="0003541A"/>
    <w:rsid w:val="000400BB"/>
    <w:rsid w:val="00040AD7"/>
    <w:rsid w:val="00047C18"/>
    <w:rsid w:val="000548CC"/>
    <w:rsid w:val="00056885"/>
    <w:rsid w:val="00062FED"/>
    <w:rsid w:val="00063BE2"/>
    <w:rsid w:val="00064CC1"/>
    <w:rsid w:val="00067FD5"/>
    <w:rsid w:val="00077ADA"/>
    <w:rsid w:val="00077B4E"/>
    <w:rsid w:val="00080A98"/>
    <w:rsid w:val="000834E6"/>
    <w:rsid w:val="00085EF5"/>
    <w:rsid w:val="0008666F"/>
    <w:rsid w:val="000931B0"/>
    <w:rsid w:val="000931CA"/>
    <w:rsid w:val="0009352D"/>
    <w:rsid w:val="00093F69"/>
    <w:rsid w:val="00094FD7"/>
    <w:rsid w:val="00096062"/>
    <w:rsid w:val="00097DA8"/>
    <w:rsid w:val="000A0A7C"/>
    <w:rsid w:val="000C2100"/>
    <w:rsid w:val="000D1DDA"/>
    <w:rsid w:val="000D45D0"/>
    <w:rsid w:val="000E069B"/>
    <w:rsid w:val="000E1CBE"/>
    <w:rsid w:val="000E209C"/>
    <w:rsid w:val="000F7EEF"/>
    <w:rsid w:val="0011736F"/>
    <w:rsid w:val="0012627B"/>
    <w:rsid w:val="00127AE7"/>
    <w:rsid w:val="00131E9C"/>
    <w:rsid w:val="00150F35"/>
    <w:rsid w:val="00151F7B"/>
    <w:rsid w:val="00155A9A"/>
    <w:rsid w:val="001602A8"/>
    <w:rsid w:val="001663F8"/>
    <w:rsid w:val="001708D6"/>
    <w:rsid w:val="0018293C"/>
    <w:rsid w:val="00183379"/>
    <w:rsid w:val="0019193B"/>
    <w:rsid w:val="00195540"/>
    <w:rsid w:val="001A21BB"/>
    <w:rsid w:val="001B066E"/>
    <w:rsid w:val="001C0D5B"/>
    <w:rsid w:val="001C5897"/>
    <w:rsid w:val="001C71C4"/>
    <w:rsid w:val="001D403C"/>
    <w:rsid w:val="001D55C1"/>
    <w:rsid w:val="001E44A6"/>
    <w:rsid w:val="001F3EDC"/>
    <w:rsid w:val="002014D5"/>
    <w:rsid w:val="00203B29"/>
    <w:rsid w:val="00210B83"/>
    <w:rsid w:val="00210E1E"/>
    <w:rsid w:val="002225C4"/>
    <w:rsid w:val="002336F1"/>
    <w:rsid w:val="00242AF1"/>
    <w:rsid w:val="0024430E"/>
    <w:rsid w:val="0024456C"/>
    <w:rsid w:val="0024608A"/>
    <w:rsid w:val="002462D6"/>
    <w:rsid w:val="00257406"/>
    <w:rsid w:val="00261B2D"/>
    <w:rsid w:val="00264D72"/>
    <w:rsid w:val="0027460C"/>
    <w:rsid w:val="00275DD8"/>
    <w:rsid w:val="00282601"/>
    <w:rsid w:val="0028401F"/>
    <w:rsid w:val="002858A4"/>
    <w:rsid w:val="002A2E15"/>
    <w:rsid w:val="002A61D2"/>
    <w:rsid w:val="002B2446"/>
    <w:rsid w:val="002B607C"/>
    <w:rsid w:val="002B7DD3"/>
    <w:rsid w:val="002C15B6"/>
    <w:rsid w:val="002D399F"/>
    <w:rsid w:val="002D4DA6"/>
    <w:rsid w:val="002D7082"/>
    <w:rsid w:val="002D7B03"/>
    <w:rsid w:val="002E692F"/>
    <w:rsid w:val="00310B46"/>
    <w:rsid w:val="00310D90"/>
    <w:rsid w:val="00325C11"/>
    <w:rsid w:val="00326071"/>
    <w:rsid w:val="003276C0"/>
    <w:rsid w:val="00330A22"/>
    <w:rsid w:val="00336F06"/>
    <w:rsid w:val="00344556"/>
    <w:rsid w:val="00346E41"/>
    <w:rsid w:val="00350DE3"/>
    <w:rsid w:val="00351A82"/>
    <w:rsid w:val="003631B1"/>
    <w:rsid w:val="00367886"/>
    <w:rsid w:val="00371D93"/>
    <w:rsid w:val="00371F2C"/>
    <w:rsid w:val="0037351B"/>
    <w:rsid w:val="00373B1A"/>
    <w:rsid w:val="00374E8D"/>
    <w:rsid w:val="00380065"/>
    <w:rsid w:val="0039472D"/>
    <w:rsid w:val="00395C48"/>
    <w:rsid w:val="003A0AF9"/>
    <w:rsid w:val="003A397F"/>
    <w:rsid w:val="003A3EBD"/>
    <w:rsid w:val="003C657C"/>
    <w:rsid w:val="003D7B4C"/>
    <w:rsid w:val="003E18B7"/>
    <w:rsid w:val="003E29CF"/>
    <w:rsid w:val="003F04B9"/>
    <w:rsid w:val="0040020E"/>
    <w:rsid w:val="00404088"/>
    <w:rsid w:val="0041139B"/>
    <w:rsid w:val="004206D8"/>
    <w:rsid w:val="00421E27"/>
    <w:rsid w:val="0042398D"/>
    <w:rsid w:val="00427887"/>
    <w:rsid w:val="00431B4A"/>
    <w:rsid w:val="0043662D"/>
    <w:rsid w:val="004614CE"/>
    <w:rsid w:val="004646FB"/>
    <w:rsid w:val="004703E9"/>
    <w:rsid w:val="00471DD2"/>
    <w:rsid w:val="00475631"/>
    <w:rsid w:val="00482733"/>
    <w:rsid w:val="004831E2"/>
    <w:rsid w:val="00485E50"/>
    <w:rsid w:val="00495B78"/>
    <w:rsid w:val="004969DE"/>
    <w:rsid w:val="004A4F11"/>
    <w:rsid w:val="004A5E5A"/>
    <w:rsid w:val="004A5F7D"/>
    <w:rsid w:val="004B1790"/>
    <w:rsid w:val="004B1B4C"/>
    <w:rsid w:val="004B1D77"/>
    <w:rsid w:val="004B344A"/>
    <w:rsid w:val="004B6554"/>
    <w:rsid w:val="004B6CF6"/>
    <w:rsid w:val="004C3DA0"/>
    <w:rsid w:val="004C45DF"/>
    <w:rsid w:val="004C5D6A"/>
    <w:rsid w:val="004E63D4"/>
    <w:rsid w:val="004F193A"/>
    <w:rsid w:val="004F1A8C"/>
    <w:rsid w:val="004F5D03"/>
    <w:rsid w:val="004F6BF9"/>
    <w:rsid w:val="005128CD"/>
    <w:rsid w:val="00514D56"/>
    <w:rsid w:val="00520063"/>
    <w:rsid w:val="00524D55"/>
    <w:rsid w:val="00527202"/>
    <w:rsid w:val="00535942"/>
    <w:rsid w:val="005413E6"/>
    <w:rsid w:val="00542C61"/>
    <w:rsid w:val="005537B6"/>
    <w:rsid w:val="005763CA"/>
    <w:rsid w:val="00577495"/>
    <w:rsid w:val="00585DE1"/>
    <w:rsid w:val="00585EB7"/>
    <w:rsid w:val="005860F7"/>
    <w:rsid w:val="00597D45"/>
    <w:rsid w:val="005A2320"/>
    <w:rsid w:val="005A39AF"/>
    <w:rsid w:val="005A3B98"/>
    <w:rsid w:val="005A58A9"/>
    <w:rsid w:val="005A6D2D"/>
    <w:rsid w:val="005B1982"/>
    <w:rsid w:val="005B2AAF"/>
    <w:rsid w:val="005C302C"/>
    <w:rsid w:val="005C7246"/>
    <w:rsid w:val="005E1F3E"/>
    <w:rsid w:val="005E26E7"/>
    <w:rsid w:val="005E2FEA"/>
    <w:rsid w:val="005E4B9D"/>
    <w:rsid w:val="005F1ECA"/>
    <w:rsid w:val="005F2674"/>
    <w:rsid w:val="005F4F6F"/>
    <w:rsid w:val="00611936"/>
    <w:rsid w:val="00613E5D"/>
    <w:rsid w:val="00635419"/>
    <w:rsid w:val="00635EA9"/>
    <w:rsid w:val="00637D80"/>
    <w:rsid w:val="00641676"/>
    <w:rsid w:val="00641E4D"/>
    <w:rsid w:val="00644BE7"/>
    <w:rsid w:val="00645767"/>
    <w:rsid w:val="0065312E"/>
    <w:rsid w:val="00660EAC"/>
    <w:rsid w:val="006617DA"/>
    <w:rsid w:val="006618CE"/>
    <w:rsid w:val="006643DB"/>
    <w:rsid w:val="00672AB5"/>
    <w:rsid w:val="006814DD"/>
    <w:rsid w:val="00687F41"/>
    <w:rsid w:val="0069481E"/>
    <w:rsid w:val="006952E6"/>
    <w:rsid w:val="006A3C27"/>
    <w:rsid w:val="006A3CA1"/>
    <w:rsid w:val="006B0572"/>
    <w:rsid w:val="006C5EDA"/>
    <w:rsid w:val="006C666D"/>
    <w:rsid w:val="006C6966"/>
    <w:rsid w:val="006C7509"/>
    <w:rsid w:val="006D0535"/>
    <w:rsid w:val="006D25A0"/>
    <w:rsid w:val="006E089C"/>
    <w:rsid w:val="006E29BD"/>
    <w:rsid w:val="006E50EA"/>
    <w:rsid w:val="006E7736"/>
    <w:rsid w:val="0070112D"/>
    <w:rsid w:val="0070500B"/>
    <w:rsid w:val="007136AA"/>
    <w:rsid w:val="00715F3D"/>
    <w:rsid w:val="0073526A"/>
    <w:rsid w:val="00736F05"/>
    <w:rsid w:val="00745C96"/>
    <w:rsid w:val="00746019"/>
    <w:rsid w:val="00746C49"/>
    <w:rsid w:val="00764376"/>
    <w:rsid w:val="0077289E"/>
    <w:rsid w:val="007770C6"/>
    <w:rsid w:val="00783770"/>
    <w:rsid w:val="007838F6"/>
    <w:rsid w:val="00784BFC"/>
    <w:rsid w:val="00785125"/>
    <w:rsid w:val="007878B2"/>
    <w:rsid w:val="007937C9"/>
    <w:rsid w:val="007A22B2"/>
    <w:rsid w:val="007A42BF"/>
    <w:rsid w:val="007A62CF"/>
    <w:rsid w:val="007A70F9"/>
    <w:rsid w:val="007B600E"/>
    <w:rsid w:val="007C49A0"/>
    <w:rsid w:val="007C5CCE"/>
    <w:rsid w:val="007E0239"/>
    <w:rsid w:val="007F3A11"/>
    <w:rsid w:val="007F3C94"/>
    <w:rsid w:val="007F45F1"/>
    <w:rsid w:val="007F7F4B"/>
    <w:rsid w:val="00800908"/>
    <w:rsid w:val="0082033A"/>
    <w:rsid w:val="00836613"/>
    <w:rsid w:val="00854762"/>
    <w:rsid w:val="008773DC"/>
    <w:rsid w:val="0088082E"/>
    <w:rsid w:val="00880ACF"/>
    <w:rsid w:val="00885FE3"/>
    <w:rsid w:val="00890A95"/>
    <w:rsid w:val="0089128F"/>
    <w:rsid w:val="008B3585"/>
    <w:rsid w:val="008B64A3"/>
    <w:rsid w:val="008B7F60"/>
    <w:rsid w:val="008E337A"/>
    <w:rsid w:val="008E666A"/>
    <w:rsid w:val="008E7A7C"/>
    <w:rsid w:val="00900D4B"/>
    <w:rsid w:val="00905F97"/>
    <w:rsid w:val="00914185"/>
    <w:rsid w:val="00915B0E"/>
    <w:rsid w:val="009329D7"/>
    <w:rsid w:val="00932A5B"/>
    <w:rsid w:val="0093523F"/>
    <w:rsid w:val="009405B8"/>
    <w:rsid w:val="00943995"/>
    <w:rsid w:val="00951076"/>
    <w:rsid w:val="00960614"/>
    <w:rsid w:val="00962EEA"/>
    <w:rsid w:val="00971CA7"/>
    <w:rsid w:val="00975A90"/>
    <w:rsid w:val="00983896"/>
    <w:rsid w:val="00987274"/>
    <w:rsid w:val="00992890"/>
    <w:rsid w:val="009A01DB"/>
    <w:rsid w:val="009A26A1"/>
    <w:rsid w:val="009A38D1"/>
    <w:rsid w:val="009A6638"/>
    <w:rsid w:val="009B3B1A"/>
    <w:rsid w:val="009B694E"/>
    <w:rsid w:val="009B6E24"/>
    <w:rsid w:val="009C1AD6"/>
    <w:rsid w:val="009C2978"/>
    <w:rsid w:val="009D0145"/>
    <w:rsid w:val="009D240B"/>
    <w:rsid w:val="009D2836"/>
    <w:rsid w:val="009D5CD3"/>
    <w:rsid w:val="009E34EE"/>
    <w:rsid w:val="00A1098A"/>
    <w:rsid w:val="00A144E3"/>
    <w:rsid w:val="00A17D40"/>
    <w:rsid w:val="00A21502"/>
    <w:rsid w:val="00A270E7"/>
    <w:rsid w:val="00A27792"/>
    <w:rsid w:val="00A35072"/>
    <w:rsid w:val="00A373B9"/>
    <w:rsid w:val="00A46A05"/>
    <w:rsid w:val="00A47243"/>
    <w:rsid w:val="00A477A7"/>
    <w:rsid w:val="00A51802"/>
    <w:rsid w:val="00A55709"/>
    <w:rsid w:val="00A5585F"/>
    <w:rsid w:val="00A6581B"/>
    <w:rsid w:val="00A66C37"/>
    <w:rsid w:val="00A758FF"/>
    <w:rsid w:val="00A801C3"/>
    <w:rsid w:val="00A820B7"/>
    <w:rsid w:val="00A87B5F"/>
    <w:rsid w:val="00A952D5"/>
    <w:rsid w:val="00AA23AE"/>
    <w:rsid w:val="00AA52FC"/>
    <w:rsid w:val="00AB0337"/>
    <w:rsid w:val="00AB1BC3"/>
    <w:rsid w:val="00AB5754"/>
    <w:rsid w:val="00AC54A2"/>
    <w:rsid w:val="00AC6A51"/>
    <w:rsid w:val="00AD4B10"/>
    <w:rsid w:val="00AD5519"/>
    <w:rsid w:val="00AE2071"/>
    <w:rsid w:val="00AE21FC"/>
    <w:rsid w:val="00AE2FBB"/>
    <w:rsid w:val="00AE3626"/>
    <w:rsid w:val="00AE466E"/>
    <w:rsid w:val="00AE51DF"/>
    <w:rsid w:val="00AF1EA3"/>
    <w:rsid w:val="00AF6F47"/>
    <w:rsid w:val="00B01A96"/>
    <w:rsid w:val="00B01DED"/>
    <w:rsid w:val="00B02152"/>
    <w:rsid w:val="00B067C2"/>
    <w:rsid w:val="00B13FB6"/>
    <w:rsid w:val="00B31641"/>
    <w:rsid w:val="00B37379"/>
    <w:rsid w:val="00B56AAE"/>
    <w:rsid w:val="00B57588"/>
    <w:rsid w:val="00B624CD"/>
    <w:rsid w:val="00B673ED"/>
    <w:rsid w:val="00B70DC0"/>
    <w:rsid w:val="00B739DA"/>
    <w:rsid w:val="00B75182"/>
    <w:rsid w:val="00B7639D"/>
    <w:rsid w:val="00B772F7"/>
    <w:rsid w:val="00B84011"/>
    <w:rsid w:val="00B95712"/>
    <w:rsid w:val="00BA02E4"/>
    <w:rsid w:val="00BA02ED"/>
    <w:rsid w:val="00BA2C98"/>
    <w:rsid w:val="00BC25B7"/>
    <w:rsid w:val="00BC3FF8"/>
    <w:rsid w:val="00BD4A63"/>
    <w:rsid w:val="00BE2F61"/>
    <w:rsid w:val="00BE38C8"/>
    <w:rsid w:val="00BE56E3"/>
    <w:rsid w:val="00BE5984"/>
    <w:rsid w:val="00BF5079"/>
    <w:rsid w:val="00BF5F55"/>
    <w:rsid w:val="00BF708D"/>
    <w:rsid w:val="00BF77C8"/>
    <w:rsid w:val="00C0095E"/>
    <w:rsid w:val="00C04DD9"/>
    <w:rsid w:val="00C108AE"/>
    <w:rsid w:val="00C23FF7"/>
    <w:rsid w:val="00C2482D"/>
    <w:rsid w:val="00C24A81"/>
    <w:rsid w:val="00C24C19"/>
    <w:rsid w:val="00C26759"/>
    <w:rsid w:val="00C3090B"/>
    <w:rsid w:val="00C3660F"/>
    <w:rsid w:val="00C40522"/>
    <w:rsid w:val="00C41EF9"/>
    <w:rsid w:val="00C5235E"/>
    <w:rsid w:val="00C65715"/>
    <w:rsid w:val="00C71D07"/>
    <w:rsid w:val="00C74B54"/>
    <w:rsid w:val="00C76135"/>
    <w:rsid w:val="00C76B70"/>
    <w:rsid w:val="00C8613B"/>
    <w:rsid w:val="00C870A1"/>
    <w:rsid w:val="00C93BD6"/>
    <w:rsid w:val="00CA32B3"/>
    <w:rsid w:val="00CA3FE5"/>
    <w:rsid w:val="00CB3B56"/>
    <w:rsid w:val="00CB445D"/>
    <w:rsid w:val="00CB5796"/>
    <w:rsid w:val="00CB5CD5"/>
    <w:rsid w:val="00CD60AB"/>
    <w:rsid w:val="00CE3A5A"/>
    <w:rsid w:val="00CE50C2"/>
    <w:rsid w:val="00CE727D"/>
    <w:rsid w:val="00D04168"/>
    <w:rsid w:val="00D05CEE"/>
    <w:rsid w:val="00D07579"/>
    <w:rsid w:val="00D2190F"/>
    <w:rsid w:val="00D23537"/>
    <w:rsid w:val="00D43EFC"/>
    <w:rsid w:val="00D5178D"/>
    <w:rsid w:val="00D52B0E"/>
    <w:rsid w:val="00D557A4"/>
    <w:rsid w:val="00D56CEF"/>
    <w:rsid w:val="00D60F28"/>
    <w:rsid w:val="00D64BF7"/>
    <w:rsid w:val="00D74BAE"/>
    <w:rsid w:val="00D85F5E"/>
    <w:rsid w:val="00D94456"/>
    <w:rsid w:val="00D949FB"/>
    <w:rsid w:val="00D950F8"/>
    <w:rsid w:val="00D97348"/>
    <w:rsid w:val="00DA353D"/>
    <w:rsid w:val="00DB1C01"/>
    <w:rsid w:val="00DB2695"/>
    <w:rsid w:val="00DC203A"/>
    <w:rsid w:val="00DC4A11"/>
    <w:rsid w:val="00DD25A3"/>
    <w:rsid w:val="00DE780B"/>
    <w:rsid w:val="00DF37C0"/>
    <w:rsid w:val="00DF3855"/>
    <w:rsid w:val="00DF4F33"/>
    <w:rsid w:val="00E14527"/>
    <w:rsid w:val="00E163F4"/>
    <w:rsid w:val="00E22F90"/>
    <w:rsid w:val="00E2523D"/>
    <w:rsid w:val="00E27B84"/>
    <w:rsid w:val="00E312EA"/>
    <w:rsid w:val="00E45940"/>
    <w:rsid w:val="00E46CAF"/>
    <w:rsid w:val="00E504D9"/>
    <w:rsid w:val="00E574A1"/>
    <w:rsid w:val="00E61662"/>
    <w:rsid w:val="00E63B55"/>
    <w:rsid w:val="00E73A6B"/>
    <w:rsid w:val="00E765CB"/>
    <w:rsid w:val="00E76CAF"/>
    <w:rsid w:val="00E821A2"/>
    <w:rsid w:val="00E95586"/>
    <w:rsid w:val="00EA018F"/>
    <w:rsid w:val="00EA0C0A"/>
    <w:rsid w:val="00EA62B3"/>
    <w:rsid w:val="00EA7883"/>
    <w:rsid w:val="00EA7F5E"/>
    <w:rsid w:val="00EC11B2"/>
    <w:rsid w:val="00EC51BA"/>
    <w:rsid w:val="00ED79C2"/>
    <w:rsid w:val="00EE1F06"/>
    <w:rsid w:val="00EE23A3"/>
    <w:rsid w:val="00F142DC"/>
    <w:rsid w:val="00F35AD7"/>
    <w:rsid w:val="00F4088D"/>
    <w:rsid w:val="00F44931"/>
    <w:rsid w:val="00F51346"/>
    <w:rsid w:val="00F53E4B"/>
    <w:rsid w:val="00F62653"/>
    <w:rsid w:val="00F74308"/>
    <w:rsid w:val="00F97115"/>
    <w:rsid w:val="00FA5273"/>
    <w:rsid w:val="00FC327F"/>
    <w:rsid w:val="00FD223C"/>
    <w:rsid w:val="00FE7956"/>
    <w:rsid w:val="00FF2EEF"/>
    <w:rsid w:val="00FF61EA"/>
    <w:rsid w:val="01740FA6"/>
    <w:rsid w:val="026223A4"/>
    <w:rsid w:val="03277AEE"/>
    <w:rsid w:val="04794817"/>
    <w:rsid w:val="049F51EA"/>
    <w:rsid w:val="09BF05F1"/>
    <w:rsid w:val="0EBF5D6C"/>
    <w:rsid w:val="10C40B26"/>
    <w:rsid w:val="11860AFB"/>
    <w:rsid w:val="14645659"/>
    <w:rsid w:val="15906A89"/>
    <w:rsid w:val="17C66775"/>
    <w:rsid w:val="18770142"/>
    <w:rsid w:val="19A02B60"/>
    <w:rsid w:val="1B067D19"/>
    <w:rsid w:val="20BD4F1E"/>
    <w:rsid w:val="219775CE"/>
    <w:rsid w:val="21FA61F2"/>
    <w:rsid w:val="22503B80"/>
    <w:rsid w:val="249C309C"/>
    <w:rsid w:val="298F17BF"/>
    <w:rsid w:val="2BE42BD3"/>
    <w:rsid w:val="2CA67E37"/>
    <w:rsid w:val="30F607F1"/>
    <w:rsid w:val="317136CD"/>
    <w:rsid w:val="31AC24EA"/>
    <w:rsid w:val="366337ED"/>
    <w:rsid w:val="3E0A124F"/>
    <w:rsid w:val="43727992"/>
    <w:rsid w:val="45933C72"/>
    <w:rsid w:val="472C15E5"/>
    <w:rsid w:val="4B4345C1"/>
    <w:rsid w:val="4C3B6976"/>
    <w:rsid w:val="51DC2670"/>
    <w:rsid w:val="548B2661"/>
    <w:rsid w:val="54C27A80"/>
    <w:rsid w:val="555761E8"/>
    <w:rsid w:val="57904998"/>
    <w:rsid w:val="5C690FBE"/>
    <w:rsid w:val="5CED210B"/>
    <w:rsid w:val="5FCA5CA8"/>
    <w:rsid w:val="61593D0C"/>
    <w:rsid w:val="623B37C7"/>
    <w:rsid w:val="625247BE"/>
    <w:rsid w:val="63D53BEC"/>
    <w:rsid w:val="67DB7004"/>
    <w:rsid w:val="68EB2C3F"/>
    <w:rsid w:val="68EC03E8"/>
    <w:rsid w:val="6CAC6DB4"/>
    <w:rsid w:val="6D53268A"/>
    <w:rsid w:val="6E5B3674"/>
    <w:rsid w:val="6F0736D9"/>
    <w:rsid w:val="73AF76A0"/>
    <w:rsid w:val="753C7334"/>
    <w:rsid w:val="76817CF6"/>
    <w:rsid w:val="7B7F61CD"/>
    <w:rsid w:val="7F4738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Indent"/>
    <w:basedOn w:val="1"/>
    <w:link w:val="14"/>
    <w:qFormat/>
    <w:uiPriority w:val="0"/>
    <w:pPr>
      <w:ind w:firstLine="420" w:firstLineChars="200"/>
    </w:pPr>
  </w:style>
  <w:style w:type="paragraph" w:styleId="4">
    <w:name w:val="annotation text"/>
    <w:basedOn w:val="1"/>
    <w:link w:val="17"/>
    <w:uiPriority w:val="0"/>
    <w:pPr>
      <w:jc w:val="left"/>
    </w:pPr>
  </w:style>
  <w:style w:type="paragraph" w:styleId="5">
    <w:name w:val="Body Text Indent"/>
    <w:basedOn w:val="1"/>
    <w:qFormat/>
    <w:uiPriority w:val="0"/>
    <w:pPr>
      <w:ind w:firstLine="600"/>
    </w:pPr>
    <w:rPr>
      <w:rFonts w:ascii="仿宋_GB2312"/>
      <w:sz w:val="30"/>
    </w:rPr>
  </w:style>
  <w:style w:type="paragraph" w:styleId="6">
    <w:name w:val="Date"/>
    <w:basedOn w:val="1"/>
    <w:next w:val="1"/>
    <w:link w:val="15"/>
    <w:qFormat/>
    <w:uiPriority w:val="0"/>
    <w:pPr>
      <w:ind w:left="100" w:leftChars="2500"/>
    </w:pPr>
  </w:style>
  <w:style w:type="paragraph" w:styleId="7">
    <w:name w:val="Balloon Text"/>
    <w:basedOn w:val="1"/>
    <w:link w:val="16"/>
    <w:uiPriority w:val="0"/>
    <w:rPr>
      <w:sz w:val="18"/>
      <w:szCs w:val="18"/>
    </w:rPr>
  </w:style>
  <w:style w:type="paragraph" w:styleId="8">
    <w:name w:val="footer"/>
    <w:basedOn w:val="1"/>
    <w:link w:val="11"/>
    <w:qFormat/>
    <w:uiPriority w:val="99"/>
    <w:pPr>
      <w:tabs>
        <w:tab w:val="center" w:pos="4153"/>
        <w:tab w:val="right" w:pos="8306"/>
      </w:tabs>
      <w:snapToGrid w:val="0"/>
      <w:jc w:val="left"/>
    </w:pPr>
    <w:rPr>
      <w:sz w:val="18"/>
      <w:szCs w:val="18"/>
    </w:rPr>
  </w:style>
  <w:style w:type="character" w:customStyle="1" w:styleId="11">
    <w:name w:val="页脚 Char"/>
    <w:basedOn w:val="10"/>
    <w:link w:val="8"/>
    <w:qFormat/>
    <w:uiPriority w:val="99"/>
    <w:rPr>
      <w:rFonts w:eastAsia="仿宋_GB2312"/>
      <w:kern w:val="2"/>
      <w:sz w:val="18"/>
      <w:szCs w:val="18"/>
    </w:rPr>
  </w:style>
  <w:style w:type="paragraph" w:customStyle="1" w:styleId="12">
    <w:name w:val="中文报告书样式"/>
    <w:basedOn w:val="1"/>
    <w:link w:val="13"/>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13">
    <w:name w:val="中文报告书样式 Char1"/>
    <w:basedOn w:val="10"/>
    <w:link w:val="12"/>
    <w:qFormat/>
    <w:locked/>
    <w:uiPriority w:val="0"/>
    <w:rPr>
      <w:rFonts w:ascii="Times New Roman" w:hAnsi="Times New Roman" w:eastAsia="仿宋_GB2312"/>
      <w:kern w:val="24"/>
      <w:sz w:val="24"/>
    </w:rPr>
  </w:style>
  <w:style w:type="character" w:customStyle="1" w:styleId="14">
    <w:name w:val="正文缩进 Char"/>
    <w:basedOn w:val="10"/>
    <w:link w:val="3"/>
    <w:qFormat/>
    <w:uiPriority w:val="0"/>
    <w:rPr>
      <w:rFonts w:eastAsia="仿宋_GB2312"/>
      <w:kern w:val="2"/>
      <w:sz w:val="32"/>
      <w:szCs w:val="32"/>
    </w:rPr>
  </w:style>
  <w:style w:type="character" w:customStyle="1" w:styleId="15">
    <w:name w:val="日期 Char"/>
    <w:basedOn w:val="10"/>
    <w:link w:val="6"/>
    <w:uiPriority w:val="0"/>
    <w:rPr>
      <w:rFonts w:eastAsia="仿宋_GB2312"/>
      <w:kern w:val="2"/>
      <w:sz w:val="32"/>
      <w:szCs w:val="32"/>
    </w:rPr>
  </w:style>
  <w:style w:type="character" w:customStyle="1" w:styleId="16">
    <w:name w:val="批注框文本 Char"/>
    <w:basedOn w:val="10"/>
    <w:link w:val="7"/>
    <w:uiPriority w:val="0"/>
    <w:rPr>
      <w:rFonts w:ascii="Calibri" w:hAnsi="Calibri" w:eastAsia="仿宋_GB2312"/>
      <w:kern w:val="2"/>
      <w:sz w:val="18"/>
      <w:szCs w:val="18"/>
    </w:rPr>
  </w:style>
  <w:style w:type="character" w:customStyle="1" w:styleId="17">
    <w:name w:val="批注文字 Char"/>
    <w:basedOn w:val="10"/>
    <w:link w:val="4"/>
    <w:uiPriority w:val="0"/>
    <w:rPr>
      <w:rFonts w:ascii="Calibri" w:hAnsi="Calibri" w:eastAsia="仿宋_GB2312"/>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40005-F5DC-4929-BCE6-2F9F112724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355</Words>
  <Characters>2027</Characters>
  <Lines>16</Lines>
  <Paragraphs>4</Paragraphs>
  <TotalTime>545</TotalTime>
  <ScaleCrop>false</ScaleCrop>
  <LinksUpToDate>false</LinksUpToDate>
  <CharactersWithSpaces>2378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2017-08-16T02:57:00Z</dcterms:created>
  <dc:creator>Administrator</dc:creator>
  <cp:lastModifiedBy>dell</cp:lastModifiedBy>
  <cp:lastPrinted>2024-12-31T02:27:00Z</cp:lastPrinted>
  <dcterms:modified xsi:type="dcterms:W3CDTF">2025-04-25T02:59:40Z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41CAC6463FBF4D629676975235F61E16</vt:lpwstr>
  </property>
</Properties>
</file>