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128</w:t>
      </w:r>
      <w:r>
        <w:rPr>
          <w:rFonts w:hint="default" w:ascii="Times New Roman" w:hAnsi="Times New Roman" w:eastAsia="仿宋_GB2312" w:cs="Times New Roman"/>
          <w:sz w:val="32"/>
          <w:szCs w:val="32"/>
        </w:rPr>
        <w:t>号</w:t>
      </w:r>
    </w:p>
    <w:bookmarkEnd w:id="0"/>
    <w:p w14:paraId="204716EA">
      <w:pPr>
        <w:rPr>
          <w:rFonts w:ascii="仿宋_GB2312" w:eastAsia="仿宋_GB2312"/>
          <w:sz w:val="32"/>
          <w:szCs w:val="32"/>
        </w:rPr>
      </w:pPr>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2410</w:t>
      </w:r>
      <w:r>
        <w:rPr>
          <w:rFonts w:hint="eastAsia" w:ascii="Times New Roman" w:hAnsi="Times New Roman" w:eastAsia="仿宋_GB2312" w:cs="Times New Roman"/>
          <w:kern w:val="2"/>
          <w:sz w:val="32"/>
          <w:szCs w:val="32"/>
          <w:lang w:val="en-US" w:eastAsia="zh-CN" w:bidi="ar-SA"/>
        </w:rPr>
        <w:t>-120116-89-01-</w:t>
      </w:r>
      <w:r>
        <w:rPr>
          <w:rFonts w:hint="eastAsia" w:eastAsia="仿宋_GB2312" w:cs="Times New Roman"/>
          <w:kern w:val="2"/>
          <w:sz w:val="32"/>
          <w:szCs w:val="32"/>
          <w:lang w:val="en-US" w:eastAsia="zh-CN" w:bidi="ar-SA"/>
        </w:rPr>
        <w:t>780511</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1B4AD67B">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US" w:eastAsia="zh-CN"/>
        </w:rPr>
        <w:t>鑫泰路220千伏变电站</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lang w:val="en-US" w:eastAsia="zh-CN"/>
        </w:rPr>
        <w:t>110千伏出线工程</w:t>
      </w: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国网天津市电力公司</w:t>
      </w:r>
      <w:r>
        <w:rPr>
          <w:rFonts w:hint="eastAsia" w:eastAsia="仿宋_GB2312" w:cs="Times New Roman"/>
          <w:sz w:val="32"/>
          <w:szCs w:val="32"/>
          <w:lang w:eastAsia="zh-CN"/>
        </w:rPr>
        <w:t>滨海供电</w:t>
      </w:r>
      <w:r>
        <w:rPr>
          <w:rFonts w:hint="default" w:ascii="Times New Roman" w:hAnsi="Times New Roman" w:eastAsia="仿宋_GB2312" w:cs="Times New Roman"/>
          <w:sz w:val="32"/>
          <w:szCs w:val="32"/>
        </w:rPr>
        <w:t>分公司：</w:t>
      </w:r>
    </w:p>
    <w:p w14:paraId="20B52328">
      <w:pPr>
        <w:pStyle w:val="11"/>
        <w:keepNext w:val="0"/>
        <w:keepLines w:val="0"/>
        <w:pageBreakBefore w:val="0"/>
        <w:widowControl w:val="0"/>
        <w:kinsoku/>
        <w:wordWrap/>
        <w:overflowPunct/>
        <w:topLinePunct w:val="0"/>
        <w:autoSpaceDE/>
        <w:autoSpaceDN/>
        <w:bidi w:val="0"/>
        <w:adjustRightInd w:val="0"/>
        <w:snapToGrid/>
        <w:spacing w:line="6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ascii="Times New Roman" w:hAnsi="Times New Roman" w:eastAsia="仿宋_GB2312" w:cs="Times New Roman"/>
          <w:sz w:val="32"/>
          <w:szCs w:val="32"/>
          <w:lang w:val="en-US" w:eastAsia="zh-CN"/>
        </w:rPr>
        <w:t>鑫泰路220千伏变电站110千伏出线工程</w:t>
      </w:r>
      <w:r>
        <w:rPr>
          <w:rFonts w:hint="default" w:ascii="Times New Roman" w:hAnsi="Times New Roman"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ascii="Times New Roman" w:hAnsi="Times New Roman" w:eastAsia="仿宋_GB2312" w:cs="Times New Roman"/>
          <w:sz w:val="32"/>
          <w:szCs w:val="32"/>
          <w:lang w:eastAsia="zh-CN"/>
        </w:rPr>
        <w:t>的报批申请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联合泰泽环境科技发展有限公司</w:t>
      </w:r>
      <w:r>
        <w:rPr>
          <w:rFonts w:hint="eastAsia"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鑫泰路220千伏变电</w:t>
      </w:r>
      <w:r>
        <w:rPr>
          <w:rFonts w:hint="eastAsia" w:eastAsia="仿宋_GB2312" w:cs="Times New Roman"/>
          <w:sz w:val="32"/>
          <w:szCs w:val="32"/>
          <w:lang w:val="en-US" w:eastAsia="zh-CN"/>
        </w:rPr>
        <w:t>站110千伏出线工程</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满足区域供电需求，</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滨海新区徐太路沿线</w:t>
      </w:r>
      <w:r>
        <w:rPr>
          <w:rFonts w:hint="eastAsia" w:eastAsia="仿宋_GB2312"/>
          <w:bCs/>
          <w:sz w:val="32"/>
          <w:szCs w:val="32"/>
          <w:lang w:eastAsia="zh-CN"/>
        </w:rPr>
        <w:t>开展</w:t>
      </w:r>
      <w:r>
        <w:rPr>
          <w:rFonts w:hint="eastAsia" w:eastAsia="仿宋_GB2312" w:cs="Times New Roman"/>
          <w:sz w:val="32"/>
          <w:szCs w:val="32"/>
          <w:lang w:val="en-US" w:eastAsia="zh-CN"/>
        </w:rPr>
        <w:t>鑫泰路220千伏变电站110千伏出线工程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本次评价范围内的工程主要建设内容为新建路径总长为4.429千米的110千伏输电线路，其中架空线路路径长度为3.779千米、埋地电缆路径长度为0.65千米，线路起点为在建鑫泰路220千伏变电站，1回T接至现状110千伏西青线、另1回接引至待建110千伏西刘二王庄镇支线。其余仅挂线不通电部分根据后续使用情况纳入相应工程环境影响评价。</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3653</w:t>
      </w:r>
      <w:r>
        <w:rPr>
          <w:rFonts w:hint="default" w:eastAsia="仿宋_GB2312"/>
          <w:bCs/>
          <w:sz w:val="32"/>
          <w:szCs w:val="32"/>
        </w:rPr>
        <w:t>万元，环保投资</w:t>
      </w:r>
      <w:r>
        <w:rPr>
          <w:rFonts w:hint="eastAsia" w:eastAsia="仿宋_GB2312"/>
          <w:bCs/>
          <w:sz w:val="32"/>
          <w:szCs w:val="32"/>
          <w:lang w:val="en-US" w:eastAsia="zh-CN"/>
        </w:rPr>
        <w:t>110</w:t>
      </w:r>
      <w:r>
        <w:rPr>
          <w:rFonts w:hint="default" w:eastAsia="仿宋_GB2312"/>
          <w:bCs/>
          <w:sz w:val="32"/>
          <w:szCs w:val="32"/>
        </w:rPr>
        <w:t>万元，约占总投资的</w:t>
      </w:r>
      <w:r>
        <w:rPr>
          <w:rFonts w:hint="eastAsia" w:eastAsia="仿宋_GB2312" w:cs="Times New Roman"/>
          <w:sz w:val="32"/>
          <w:szCs w:val="32"/>
          <w:lang w:val="en-US" w:eastAsia="zh-CN"/>
        </w:rPr>
        <w:t>3.01</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sz w:val="32"/>
          <w:szCs w:val="32"/>
          <w:highlight w:val="none"/>
          <w:lang w:val="en-US" w:eastAsia="zh-CN"/>
        </w:rPr>
        <w:t>4</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10</w:t>
      </w:r>
      <w:r>
        <w:rPr>
          <w:rFonts w:hint="default" w:eastAsia="仿宋_GB2312"/>
          <w:bCs/>
          <w:color w:val="auto"/>
          <w:sz w:val="32"/>
          <w:szCs w:val="32"/>
          <w:highlight w:val="none"/>
          <w:lang w:val="en-US" w:eastAsia="zh-CN"/>
        </w:rPr>
        <w:t>日至</w:t>
      </w:r>
      <w:r>
        <w:rPr>
          <w:rFonts w:hint="eastAsia" w:eastAsia="仿宋_GB2312"/>
          <w:bCs/>
          <w:color w:val="auto"/>
          <w:sz w:val="32"/>
          <w:szCs w:val="32"/>
          <w:highlight w:val="none"/>
          <w:lang w:val="en-US" w:eastAsia="zh-CN"/>
        </w:rPr>
        <w:t>4</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16</w:t>
      </w:r>
      <w:r>
        <w:rPr>
          <w:rFonts w:hint="default" w:eastAsia="仿宋_GB2312"/>
          <w:bCs/>
          <w:color w:val="auto"/>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rPr>
        <w:t>施工</w:t>
      </w:r>
      <w:r>
        <w:rPr>
          <w:rFonts w:hint="eastAsia" w:eastAsia="仿宋_GB2312"/>
          <w:sz w:val="32"/>
          <w:szCs w:val="32"/>
          <w:lang w:eastAsia="zh-CN"/>
        </w:rPr>
        <w:t>产生的</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eastAsia" w:eastAsia="仿宋_GB2312" w:cs="Times New Roman"/>
          <w:sz w:val="32"/>
          <w:szCs w:val="32"/>
          <w:lang w:val="en-US" w:eastAsia="zh-CN"/>
        </w:rPr>
        <w:t>现场不设泥浆池，泥浆废水经罐车拉运至垃圾处理厂进行妥善处置；</w:t>
      </w:r>
      <w:r>
        <w:rPr>
          <w:rFonts w:hint="default" w:ascii="Times New Roman" w:hAnsi="Times New Roman" w:eastAsia="仿宋_GB2312" w:cs="Times New Roman"/>
          <w:sz w:val="32"/>
          <w:szCs w:val="32"/>
        </w:rPr>
        <w:t>施工场地固体垃圾应及时清运；合理安排施工时间和施工区域，加强对高噪声机械的管理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w:t>
      </w:r>
      <w:r>
        <w:rPr>
          <w:rFonts w:hint="default" w:ascii="Times New Roman" w:hAnsi="Times New Roman" w:eastAsia="仿宋_GB2312" w:cs="Times New Roman"/>
          <w:sz w:val="32"/>
          <w:szCs w:val="32"/>
        </w:rPr>
        <w:t>。</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严格控制临时用地边界，并按要求及时做好生态恢复</w:t>
      </w:r>
      <w:r>
        <w:rPr>
          <w:rFonts w:hint="eastAsia"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14:paraId="419ED544">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0269F51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06A2DBEF">
      <w:pPr>
        <w:rPr>
          <w:rFonts w:hint="default"/>
        </w:rPr>
      </w:pPr>
    </w:p>
    <w:p w14:paraId="6A18A1E4">
      <w:pPr>
        <w:rPr>
          <w:rFonts w:hint="default"/>
        </w:rPr>
      </w:pPr>
    </w:p>
    <w:p w14:paraId="3E6B6EAC">
      <w:pPr>
        <w:rPr>
          <w:rFonts w:hint="default"/>
        </w:rPr>
      </w:pPr>
    </w:p>
    <w:p w14:paraId="61A33DB5">
      <w:pPr>
        <w:rPr>
          <w:rFonts w:hint="default"/>
        </w:rPr>
      </w:pPr>
    </w:p>
    <w:p w14:paraId="7ABB38EE">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2025年4月17日  </w:t>
      </w:r>
    </w:p>
    <w:p w14:paraId="7A627C8B">
      <w:pPr>
        <w:wordWrap w:val="0"/>
        <w:jc w:val="both"/>
        <w:rPr>
          <w:rFonts w:hint="eastAsia" w:eastAsia="仿宋_GB2312"/>
          <w:sz w:val="32"/>
          <w:lang w:val="en-US" w:eastAsia="zh-CN"/>
        </w:rPr>
      </w:pPr>
    </w:p>
    <w:p w14:paraId="013942AF">
      <w:pPr>
        <w:wordWrap w:val="0"/>
        <w:ind w:firstLine="5120" w:firstLineChars="1600"/>
        <w:jc w:val="both"/>
        <w:rPr>
          <w:rFonts w:hint="eastAsia" w:eastAsia="仿宋_GB2312"/>
          <w:sz w:val="32"/>
          <w:lang w:val="en-US" w:eastAsia="zh-CN"/>
        </w:rPr>
      </w:pPr>
    </w:p>
    <w:p w14:paraId="3FDE3D8F">
      <w:pPr>
        <w:wordWrap w:val="0"/>
        <w:ind w:firstLine="5120" w:firstLineChars="1600"/>
        <w:jc w:val="both"/>
        <w:rPr>
          <w:rFonts w:hint="eastAsia"/>
          <w:sz w:val="15"/>
          <w:szCs w:val="15"/>
          <w:lang w:val="en-US" w:eastAsia="zh-CN"/>
        </w:rPr>
      </w:pPr>
      <w:r>
        <w:rPr>
          <w:rFonts w:hint="eastAsia" w:eastAsia="仿宋_GB2312"/>
          <w:sz w:val="32"/>
          <w:lang w:val="en-US" w:eastAsia="zh-CN"/>
        </w:rPr>
        <w:t xml:space="preserve">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17</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2691984"/>
    <w:rsid w:val="03550BFE"/>
    <w:rsid w:val="040E2881"/>
    <w:rsid w:val="05B64EE1"/>
    <w:rsid w:val="05BE0E49"/>
    <w:rsid w:val="077C3086"/>
    <w:rsid w:val="07CF6683"/>
    <w:rsid w:val="08FF1D4E"/>
    <w:rsid w:val="09C20CD4"/>
    <w:rsid w:val="0A5573E3"/>
    <w:rsid w:val="0A7C212E"/>
    <w:rsid w:val="0AC0235E"/>
    <w:rsid w:val="0B6D14B7"/>
    <w:rsid w:val="0CE942B7"/>
    <w:rsid w:val="0D4545B5"/>
    <w:rsid w:val="0D5F3A7D"/>
    <w:rsid w:val="0DA11C36"/>
    <w:rsid w:val="0EF34C60"/>
    <w:rsid w:val="0FBD0C1A"/>
    <w:rsid w:val="11E572EB"/>
    <w:rsid w:val="14357918"/>
    <w:rsid w:val="161C585F"/>
    <w:rsid w:val="162E250C"/>
    <w:rsid w:val="171917D0"/>
    <w:rsid w:val="171A2A55"/>
    <w:rsid w:val="179C380B"/>
    <w:rsid w:val="18326D5D"/>
    <w:rsid w:val="18B352B0"/>
    <w:rsid w:val="195535DF"/>
    <w:rsid w:val="19BD63E6"/>
    <w:rsid w:val="19CB339C"/>
    <w:rsid w:val="1B53571D"/>
    <w:rsid w:val="1B6A0B90"/>
    <w:rsid w:val="1E8F40C9"/>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4321AC"/>
    <w:rsid w:val="286345FC"/>
    <w:rsid w:val="28B735F1"/>
    <w:rsid w:val="28CC03F4"/>
    <w:rsid w:val="2AE8703B"/>
    <w:rsid w:val="2B3B7D75"/>
    <w:rsid w:val="2B906D44"/>
    <w:rsid w:val="2C171AB1"/>
    <w:rsid w:val="2CD656D8"/>
    <w:rsid w:val="2D5A2BCE"/>
    <w:rsid w:val="2D9D72F7"/>
    <w:rsid w:val="2F44136D"/>
    <w:rsid w:val="2FEF2C1A"/>
    <w:rsid w:val="30241BDC"/>
    <w:rsid w:val="30262E18"/>
    <w:rsid w:val="316A2E22"/>
    <w:rsid w:val="31AD4B3A"/>
    <w:rsid w:val="32622092"/>
    <w:rsid w:val="32CE4FCF"/>
    <w:rsid w:val="33630C98"/>
    <w:rsid w:val="33633703"/>
    <w:rsid w:val="33CA638A"/>
    <w:rsid w:val="33FC1F5A"/>
    <w:rsid w:val="347722F2"/>
    <w:rsid w:val="347F2CE0"/>
    <w:rsid w:val="35533D0B"/>
    <w:rsid w:val="357D7D64"/>
    <w:rsid w:val="35DF103A"/>
    <w:rsid w:val="367E6AA5"/>
    <w:rsid w:val="36B266B8"/>
    <w:rsid w:val="36C51F7A"/>
    <w:rsid w:val="36E20658"/>
    <w:rsid w:val="374B4BD9"/>
    <w:rsid w:val="375F19FD"/>
    <w:rsid w:val="37BF32B3"/>
    <w:rsid w:val="37CD1A92"/>
    <w:rsid w:val="37EB048C"/>
    <w:rsid w:val="385C19AE"/>
    <w:rsid w:val="38B84141"/>
    <w:rsid w:val="38E52E0C"/>
    <w:rsid w:val="3982447C"/>
    <w:rsid w:val="399D5FE8"/>
    <w:rsid w:val="3B0D5BF6"/>
    <w:rsid w:val="3B660234"/>
    <w:rsid w:val="3D2E17ED"/>
    <w:rsid w:val="3E015AA4"/>
    <w:rsid w:val="3E730BBA"/>
    <w:rsid w:val="3ED5EC67"/>
    <w:rsid w:val="3ED66B5C"/>
    <w:rsid w:val="3EFF249B"/>
    <w:rsid w:val="3F9A2934"/>
    <w:rsid w:val="3FC55010"/>
    <w:rsid w:val="3FD14EC6"/>
    <w:rsid w:val="40A9471F"/>
    <w:rsid w:val="41116DDD"/>
    <w:rsid w:val="42382433"/>
    <w:rsid w:val="424468A0"/>
    <w:rsid w:val="445A69E2"/>
    <w:rsid w:val="44811733"/>
    <w:rsid w:val="44A333BF"/>
    <w:rsid w:val="44FB2731"/>
    <w:rsid w:val="45915881"/>
    <w:rsid w:val="45D27CD9"/>
    <w:rsid w:val="46534CE5"/>
    <w:rsid w:val="46BF2397"/>
    <w:rsid w:val="47693F8F"/>
    <w:rsid w:val="47E250E6"/>
    <w:rsid w:val="48314946"/>
    <w:rsid w:val="4848025D"/>
    <w:rsid w:val="4A0550BC"/>
    <w:rsid w:val="4AE43C50"/>
    <w:rsid w:val="4B106CD2"/>
    <w:rsid w:val="4B314936"/>
    <w:rsid w:val="4BE8259F"/>
    <w:rsid w:val="4C0F5C17"/>
    <w:rsid w:val="4D005CA5"/>
    <w:rsid w:val="4D2158B2"/>
    <w:rsid w:val="4D752558"/>
    <w:rsid w:val="4D855597"/>
    <w:rsid w:val="4DFFF697"/>
    <w:rsid w:val="4E3F66C2"/>
    <w:rsid w:val="4EC837AE"/>
    <w:rsid w:val="50303EE1"/>
    <w:rsid w:val="52683711"/>
    <w:rsid w:val="53ED7747"/>
    <w:rsid w:val="54332825"/>
    <w:rsid w:val="55C20EA5"/>
    <w:rsid w:val="573945F7"/>
    <w:rsid w:val="585135BE"/>
    <w:rsid w:val="58532BEB"/>
    <w:rsid w:val="58704048"/>
    <w:rsid w:val="59465D4C"/>
    <w:rsid w:val="59EC4DD6"/>
    <w:rsid w:val="59F83A4A"/>
    <w:rsid w:val="5ABC54F2"/>
    <w:rsid w:val="5AC3177F"/>
    <w:rsid w:val="5B4D6D7F"/>
    <w:rsid w:val="5CA226B5"/>
    <w:rsid w:val="5D0F3DCC"/>
    <w:rsid w:val="5E09355C"/>
    <w:rsid w:val="5E0E22C9"/>
    <w:rsid w:val="5E257683"/>
    <w:rsid w:val="5E604728"/>
    <w:rsid w:val="5F0E3CB8"/>
    <w:rsid w:val="60885CA7"/>
    <w:rsid w:val="60C42FC6"/>
    <w:rsid w:val="61C254B7"/>
    <w:rsid w:val="61F10051"/>
    <w:rsid w:val="61FA1823"/>
    <w:rsid w:val="62301E3C"/>
    <w:rsid w:val="628A6975"/>
    <w:rsid w:val="628E7BBF"/>
    <w:rsid w:val="62922D24"/>
    <w:rsid w:val="640F6E0B"/>
    <w:rsid w:val="646802C9"/>
    <w:rsid w:val="651D7306"/>
    <w:rsid w:val="65EF76D2"/>
    <w:rsid w:val="662611AC"/>
    <w:rsid w:val="67526E00"/>
    <w:rsid w:val="675F70AE"/>
    <w:rsid w:val="69131D04"/>
    <w:rsid w:val="6A1D01E4"/>
    <w:rsid w:val="6B2313EE"/>
    <w:rsid w:val="6B720AE3"/>
    <w:rsid w:val="6E0A324A"/>
    <w:rsid w:val="6E4D6C01"/>
    <w:rsid w:val="6F525944"/>
    <w:rsid w:val="6F765C07"/>
    <w:rsid w:val="6FB645DF"/>
    <w:rsid w:val="6FCA008A"/>
    <w:rsid w:val="7013344B"/>
    <w:rsid w:val="715926C4"/>
    <w:rsid w:val="718F062F"/>
    <w:rsid w:val="71DE7C18"/>
    <w:rsid w:val="71E03B95"/>
    <w:rsid w:val="727218EC"/>
    <w:rsid w:val="72DD6326"/>
    <w:rsid w:val="744A736E"/>
    <w:rsid w:val="7605103D"/>
    <w:rsid w:val="76AF4C49"/>
    <w:rsid w:val="773C481C"/>
    <w:rsid w:val="78C37D6C"/>
    <w:rsid w:val="791B1FC3"/>
    <w:rsid w:val="79D7682F"/>
    <w:rsid w:val="7CB00608"/>
    <w:rsid w:val="7CC077EE"/>
    <w:rsid w:val="7CDB6472"/>
    <w:rsid w:val="7D247CD4"/>
    <w:rsid w:val="7DFA21C4"/>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1215</Characters>
  <Lines>1</Lines>
  <Paragraphs>1</Paragraphs>
  <TotalTime>2</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2025-04-02T08:28:00Z</cp:lastPrinted>
  <dcterms:modified xsi:type="dcterms:W3CDTF">2025-04-18T06:43:23Z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537C78E9A9AB4054AB2335E3DDAAF6BD_13</vt:lpwstr>
  </property>
  <property fmtid="{D5CDD505-2E9C-101B-9397-08002B2CF9AE}" pid="4" name="KSOTemplateDocerSaveRecord">
    <vt:lpwstr>eyJoZGlkIjoiODViY2JkMjU3NGYzZTEwMzZmMGFkZWViYmNkYWU3NDIiLCJ1c2VySWQiOiI2MjA1MTgzNDgifQ==</vt:lpwstr>
  </property>
</Properties>
</file>