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109</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2403</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171172</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津潍铁路110千伏大后轻轨支线11#塔-12#塔迁改入地工程</w:t>
      </w: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滨海供电</w:t>
      </w:r>
      <w:r>
        <w:rPr>
          <w:rFonts w:hint="default" w:ascii="Times New Roman" w:hAnsi="Times New Roman" w:eastAsia="仿宋_GB2312" w:cs="Times New Roman"/>
          <w:sz w:val="32"/>
          <w:szCs w:val="32"/>
        </w:rPr>
        <w:t>分公司：</w:t>
      </w:r>
    </w:p>
    <w:p w14:paraId="20B5232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eastAsia="仿宋_GB2312" w:cs="Times New Roman"/>
          <w:sz w:val="32"/>
          <w:szCs w:val="32"/>
          <w:lang w:val="en-US" w:eastAsia="zh-CN"/>
        </w:rPr>
        <w:t>津潍铁路110千伏大后轻轨支线11#塔-12#塔迁改入地工程</w:t>
      </w:r>
      <w:r>
        <w:rPr>
          <w:rFonts w:hint="eastAsia" w:eastAsia="仿宋_GB2312" w:cs="Times New Roman"/>
          <w:sz w:val="32"/>
          <w:szCs w:val="32"/>
          <w:highlight w:val="none"/>
          <w:lang w:eastAsia="zh-CN"/>
        </w:rPr>
        <w:t>环境影响报告表的请示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联合泰泽环境科技发展有限公司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《津潍铁路110千伏大后轻轨支线11#塔-12#塔迁改入地工程环境影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满足津潍高速铁路施工建设需求，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滨海新区胡家园街</w:t>
      </w:r>
      <w:r>
        <w:rPr>
          <w:rFonts w:hint="eastAsia" w:eastAsia="仿宋_GB2312"/>
          <w:bCs/>
          <w:sz w:val="32"/>
          <w:szCs w:val="32"/>
          <w:lang w:eastAsia="zh-CN"/>
        </w:rPr>
        <w:t>开展</w:t>
      </w:r>
      <w:r>
        <w:rPr>
          <w:rFonts w:hint="eastAsia" w:eastAsia="仿宋_GB2312"/>
          <w:bCs/>
          <w:sz w:val="32"/>
          <w:szCs w:val="32"/>
          <w:lang w:val="en-US" w:eastAsia="zh-CN"/>
        </w:rPr>
        <w:t>津潍铁路110千伏大后轻轨支线11#塔-12#塔迁改入地工程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工程主要内容包括拆除现状</w:t>
      </w:r>
      <w:r>
        <w:rPr>
          <w:rFonts w:hint="eastAsia" w:eastAsia="仿宋_GB2312"/>
          <w:bCs/>
          <w:sz w:val="32"/>
          <w:szCs w:val="32"/>
          <w:lang w:val="en-US" w:eastAsia="zh-CN"/>
        </w:rPr>
        <w:t>大后轻轨支线11#塔-12#塔之间</w:t>
      </w:r>
      <w:r>
        <w:rPr>
          <w:rFonts w:hint="eastAsia" w:eastAsia="仿宋_GB2312" w:cs="Times New Roman"/>
          <w:sz w:val="32"/>
          <w:szCs w:val="32"/>
          <w:lang w:val="en-US" w:eastAsia="zh-CN"/>
        </w:rPr>
        <w:t>路径长度为0.38千米的11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单回</w:t>
      </w:r>
      <w:r>
        <w:rPr>
          <w:rFonts w:hint="eastAsia" w:eastAsia="仿宋_GB2312"/>
          <w:bCs/>
          <w:sz w:val="32"/>
          <w:szCs w:val="32"/>
          <w:lang w:eastAsia="zh-CN"/>
        </w:rPr>
        <w:t>架空线路、拆除</w:t>
      </w:r>
      <w:r>
        <w:rPr>
          <w:rFonts w:hint="eastAsia" w:eastAsia="仿宋_GB2312"/>
          <w:bCs/>
          <w:sz w:val="32"/>
          <w:szCs w:val="32"/>
          <w:lang w:val="en-US" w:eastAsia="zh-CN"/>
        </w:rPr>
        <w:t>现状塔2基；新建</w:t>
      </w:r>
      <w:r>
        <w:rPr>
          <w:rFonts w:hint="eastAsia" w:eastAsia="仿宋_GB2312" w:cs="Times New Roman"/>
          <w:sz w:val="32"/>
          <w:szCs w:val="32"/>
          <w:lang w:val="en-US" w:eastAsia="zh-CN"/>
        </w:rPr>
        <w:t>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单回</w:t>
      </w:r>
      <w:r>
        <w:rPr>
          <w:rFonts w:hint="eastAsia" w:eastAsia="仿宋_GB2312"/>
          <w:bCs/>
          <w:sz w:val="32"/>
          <w:szCs w:val="32"/>
          <w:lang w:eastAsia="zh-CN"/>
        </w:rPr>
        <w:t>输电线路路径总长为</w:t>
      </w:r>
      <w:r>
        <w:rPr>
          <w:rFonts w:hint="eastAsia" w:eastAsia="仿宋_GB2312"/>
          <w:bCs/>
          <w:sz w:val="32"/>
          <w:szCs w:val="32"/>
          <w:lang w:val="en-US" w:eastAsia="zh-CN"/>
        </w:rPr>
        <w:t>0.51千米，其中架空线路0.307千米、埋地电缆0.203千米，新建塔2基、钢管杆3根等。</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631.77</w:t>
      </w:r>
      <w:r>
        <w:rPr>
          <w:rFonts w:hint="default" w:eastAsia="仿宋_GB2312"/>
          <w:bCs/>
          <w:sz w:val="32"/>
          <w:szCs w:val="32"/>
        </w:rPr>
        <w:t>万元，环保投资</w:t>
      </w:r>
      <w:r>
        <w:rPr>
          <w:rFonts w:hint="eastAsia" w:eastAsia="仿宋_GB2312"/>
          <w:bCs/>
          <w:sz w:val="32"/>
          <w:szCs w:val="32"/>
          <w:lang w:val="en-US" w:eastAsia="zh-CN"/>
        </w:rPr>
        <w:t>56</w:t>
      </w:r>
      <w:r>
        <w:rPr>
          <w:rFonts w:hint="default" w:eastAsia="仿宋_GB2312"/>
          <w:bCs/>
          <w:sz w:val="32"/>
          <w:szCs w:val="32"/>
        </w:rPr>
        <w:t>万元，约占总投资的</w:t>
      </w:r>
      <w:r>
        <w:rPr>
          <w:rFonts w:hint="eastAsia" w:eastAsia="仿宋_GB2312" w:cs="Times New Roman"/>
          <w:sz w:val="32"/>
          <w:szCs w:val="32"/>
          <w:lang w:val="en-US" w:eastAsia="zh-CN"/>
        </w:rPr>
        <w:t>8.86</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color w:val="auto"/>
          <w:sz w:val="32"/>
          <w:szCs w:val="32"/>
          <w:highlight w:val="none"/>
          <w:lang w:val="en-US" w:eastAsia="zh-CN"/>
        </w:rPr>
        <w:t>3</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28</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3</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采取有效的隔声、降噪及减振措施，避免对周边敏感目标造成影响</w:t>
      </w:r>
      <w:r>
        <w:rPr>
          <w:rFonts w:hint="default" w:ascii="Times New Roman" w:hAnsi="Times New Roman" w:eastAsia="仿宋_GB2312" w:cs="Times New Roman"/>
          <w:sz w:val="32"/>
          <w:szCs w:val="32"/>
        </w:rPr>
        <w:t>。</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2025年4月7日  </w:t>
      </w:r>
    </w:p>
    <w:p w14:paraId="58ECBC2A">
      <w:pPr>
        <w:wordWrap w:val="0"/>
        <w:ind w:firstLine="5120" w:firstLineChars="1600"/>
        <w:jc w:val="both"/>
        <w:rPr>
          <w:rFonts w:hint="eastAsia" w:eastAsia="仿宋_GB2312"/>
          <w:sz w:val="32"/>
          <w:lang w:val="en-US" w:eastAsia="zh-CN"/>
        </w:rPr>
      </w:pPr>
    </w:p>
    <w:p w14:paraId="7A627C8B">
      <w:pPr>
        <w:wordWrap w:val="0"/>
        <w:ind w:firstLine="5120" w:firstLineChars="1600"/>
        <w:jc w:val="both"/>
        <w:rPr>
          <w:rFonts w:hint="eastAsia" w:eastAsia="仿宋_GB2312"/>
          <w:sz w:val="32"/>
          <w:lang w:val="en-US" w:eastAsia="zh-CN"/>
        </w:rPr>
      </w:pPr>
    </w:p>
    <w:p w14:paraId="013942AF">
      <w:pPr>
        <w:wordWrap w:val="0"/>
        <w:ind w:firstLine="5120" w:firstLineChars="160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2691984"/>
    <w:rsid w:val="03550BFE"/>
    <w:rsid w:val="040E2881"/>
    <w:rsid w:val="05B64EE1"/>
    <w:rsid w:val="077C3086"/>
    <w:rsid w:val="07CF6683"/>
    <w:rsid w:val="08FF1D4E"/>
    <w:rsid w:val="09C20CD4"/>
    <w:rsid w:val="0A5573E3"/>
    <w:rsid w:val="0A7C212E"/>
    <w:rsid w:val="0AC0235E"/>
    <w:rsid w:val="0B6D14B7"/>
    <w:rsid w:val="0CE942B7"/>
    <w:rsid w:val="0D4545B5"/>
    <w:rsid w:val="0D5F3A7D"/>
    <w:rsid w:val="0DA11C36"/>
    <w:rsid w:val="0EA24C71"/>
    <w:rsid w:val="11E572EB"/>
    <w:rsid w:val="14357918"/>
    <w:rsid w:val="14BB6070"/>
    <w:rsid w:val="161C585F"/>
    <w:rsid w:val="162E250C"/>
    <w:rsid w:val="171917D0"/>
    <w:rsid w:val="171A2A55"/>
    <w:rsid w:val="179C380B"/>
    <w:rsid w:val="18326D5D"/>
    <w:rsid w:val="18B352B0"/>
    <w:rsid w:val="195535DF"/>
    <w:rsid w:val="19BD63E6"/>
    <w:rsid w:val="19CB339C"/>
    <w:rsid w:val="1B53571D"/>
    <w:rsid w:val="1B6A0B90"/>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6345FC"/>
    <w:rsid w:val="28B735F1"/>
    <w:rsid w:val="28CC03F4"/>
    <w:rsid w:val="2AE8703B"/>
    <w:rsid w:val="2B3B7D75"/>
    <w:rsid w:val="2C171AB1"/>
    <w:rsid w:val="2CD656D8"/>
    <w:rsid w:val="2D5A2BCE"/>
    <w:rsid w:val="2F44136D"/>
    <w:rsid w:val="2FEF2C1A"/>
    <w:rsid w:val="30241BDC"/>
    <w:rsid w:val="30262E18"/>
    <w:rsid w:val="316A2E22"/>
    <w:rsid w:val="320269B4"/>
    <w:rsid w:val="32622092"/>
    <w:rsid w:val="32CE4FCF"/>
    <w:rsid w:val="33630C98"/>
    <w:rsid w:val="33633703"/>
    <w:rsid w:val="33CA638A"/>
    <w:rsid w:val="33FC1F5A"/>
    <w:rsid w:val="347722F2"/>
    <w:rsid w:val="347F2CE0"/>
    <w:rsid w:val="35533D0B"/>
    <w:rsid w:val="357D7D64"/>
    <w:rsid w:val="35DF103A"/>
    <w:rsid w:val="367E6AA5"/>
    <w:rsid w:val="36C51F7A"/>
    <w:rsid w:val="374B4BD9"/>
    <w:rsid w:val="375F19FD"/>
    <w:rsid w:val="37BF32B3"/>
    <w:rsid w:val="37EB048C"/>
    <w:rsid w:val="385C19AE"/>
    <w:rsid w:val="38B1570F"/>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8314946"/>
    <w:rsid w:val="4848025D"/>
    <w:rsid w:val="4AE43C50"/>
    <w:rsid w:val="4B106CD2"/>
    <w:rsid w:val="4B314936"/>
    <w:rsid w:val="4D005CA5"/>
    <w:rsid w:val="4D855597"/>
    <w:rsid w:val="4DFFF697"/>
    <w:rsid w:val="4E3F66C2"/>
    <w:rsid w:val="4EC837AE"/>
    <w:rsid w:val="52683711"/>
    <w:rsid w:val="53ED7747"/>
    <w:rsid w:val="55C20EA5"/>
    <w:rsid w:val="58532BEB"/>
    <w:rsid w:val="58704048"/>
    <w:rsid w:val="59465D4C"/>
    <w:rsid w:val="59EC4DD6"/>
    <w:rsid w:val="59F83A4A"/>
    <w:rsid w:val="5ABC54F2"/>
    <w:rsid w:val="5AC3177F"/>
    <w:rsid w:val="5B4D6D7F"/>
    <w:rsid w:val="5D0F3DCC"/>
    <w:rsid w:val="5E09355C"/>
    <w:rsid w:val="5E257683"/>
    <w:rsid w:val="5E604728"/>
    <w:rsid w:val="5F0E3CB8"/>
    <w:rsid w:val="60885CA7"/>
    <w:rsid w:val="60BC333A"/>
    <w:rsid w:val="60C42FC6"/>
    <w:rsid w:val="61C254B7"/>
    <w:rsid w:val="61F10051"/>
    <w:rsid w:val="61FA1823"/>
    <w:rsid w:val="628A6975"/>
    <w:rsid w:val="628E7BBF"/>
    <w:rsid w:val="62922D24"/>
    <w:rsid w:val="640F6E0B"/>
    <w:rsid w:val="646802C9"/>
    <w:rsid w:val="651D7306"/>
    <w:rsid w:val="65EF76D2"/>
    <w:rsid w:val="662611AC"/>
    <w:rsid w:val="668B64F1"/>
    <w:rsid w:val="675F70AE"/>
    <w:rsid w:val="69131D04"/>
    <w:rsid w:val="6A1D01E4"/>
    <w:rsid w:val="6B2313EE"/>
    <w:rsid w:val="6B720AE3"/>
    <w:rsid w:val="6C411B2C"/>
    <w:rsid w:val="6E0A324A"/>
    <w:rsid w:val="6E4D6C01"/>
    <w:rsid w:val="6F525944"/>
    <w:rsid w:val="6F765C07"/>
    <w:rsid w:val="6FB645DF"/>
    <w:rsid w:val="715926C4"/>
    <w:rsid w:val="718F062F"/>
    <w:rsid w:val="71DE7C18"/>
    <w:rsid w:val="71E03B95"/>
    <w:rsid w:val="727218EC"/>
    <w:rsid w:val="744A736E"/>
    <w:rsid w:val="7605103D"/>
    <w:rsid w:val="76AF4C49"/>
    <w:rsid w:val="773C481C"/>
    <w:rsid w:val="78C37D6C"/>
    <w:rsid w:val="791B1FC3"/>
    <w:rsid w:val="79D7682F"/>
    <w:rsid w:val="7CC077EE"/>
    <w:rsid w:val="7CDB6472"/>
    <w:rsid w:val="7D247CD4"/>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1242</Words>
  <Characters>1382</Characters>
  <Lines>1</Lines>
  <Paragraphs>1</Paragraphs>
  <TotalTime>1</TotalTime>
  <ScaleCrop>false</ScaleCrop>
  <LinksUpToDate>false</LinksUpToDate>
  <CharactersWithSpaces>1433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2025-03-19T09:19:00Z</cp:lastPrinted>
  <dcterms:modified xsi:type="dcterms:W3CDTF">2025-04-07T02:54:13Z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ED0B8D6DAF29407C8A45A227138AB01A_13</vt:lpwstr>
  </property>
  <property fmtid="{D5CDD505-2E9C-101B-9397-08002B2CF9AE}" pid="4" name="KSOTemplateDocerSaveRecord">
    <vt:lpwstr>eyJoZGlkIjoiODViY2JkMjU3NGYzZTEwMzZmMGFkZWViYmNkYWU3NDIiLCJ1c2VySWQiOiI2MjA1MTgzNDgifQ==</vt:lpwstr>
  </property>
</Properties>
</file>