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37295D">
      <w:pPr>
        <w:rPr>
          <w:rFonts w:ascii="仿宋_GB2312" w:eastAsia="仿宋_GB2312"/>
          <w:sz w:val="32"/>
          <w:szCs w:val="32"/>
        </w:rPr>
      </w:pPr>
    </w:p>
    <w:p w14:paraId="38CC5701">
      <w:pPr>
        <w:rPr>
          <w:rFonts w:hint="eastAsia" w:ascii="仿宋_GB2312" w:eastAsia="仿宋_GB2312"/>
          <w:sz w:val="32"/>
          <w:szCs w:val="32"/>
          <w:highlight w:val="yellow"/>
          <w:lang w:val="en-US" w:eastAsia="zh-CN"/>
        </w:rPr>
      </w:pPr>
    </w:p>
    <w:p w14:paraId="23D62247">
      <w:pPr>
        <w:rPr>
          <w:rFonts w:ascii="仿宋_GB2312" w:eastAsia="仿宋_GB2312"/>
          <w:sz w:val="32"/>
          <w:szCs w:val="32"/>
        </w:rPr>
      </w:pPr>
    </w:p>
    <w:p w14:paraId="66FE7C6B">
      <w:pPr>
        <w:spacing w:line="360" w:lineRule="auto"/>
        <w:jc w:val="center"/>
        <w:rPr>
          <w:rFonts w:ascii="仿宋_GB2312" w:eastAsia="仿宋_GB2312"/>
          <w:sz w:val="32"/>
          <w:szCs w:val="32"/>
        </w:rPr>
      </w:pPr>
    </w:p>
    <w:p w14:paraId="29627FD1">
      <w:pPr>
        <w:jc w:val="center"/>
        <w:rPr>
          <w:rFonts w:hint="default" w:ascii="Times New Roman" w:hAnsi="Times New Roman" w:eastAsia="仿宋_GB2312" w:cs="Times New Roman"/>
          <w:sz w:val="32"/>
          <w:szCs w:val="32"/>
        </w:rPr>
      </w:pPr>
    </w:p>
    <w:p w14:paraId="64623459">
      <w:pPr>
        <w:jc w:val="center"/>
        <w:rPr>
          <w:rFonts w:ascii="仿宋_GB2312" w:eastAsia="仿宋_GB2312"/>
          <w:sz w:val="32"/>
          <w:szCs w:val="32"/>
        </w:rPr>
      </w:pPr>
      <w:bookmarkStart w:id="0" w:name="_GoBack"/>
      <w:r>
        <w:rPr>
          <w:rFonts w:hint="default" w:ascii="Times New Roman" w:hAnsi="Times New Roman" w:eastAsia="仿宋_GB2312" w:cs="Times New Roman"/>
          <w:sz w:val="32"/>
          <w:szCs w:val="32"/>
        </w:rPr>
        <w:t>津滨审批二室准〔20</w:t>
      </w:r>
      <w:r>
        <w:rPr>
          <w:rFonts w:hint="eastAsia" w:eastAsia="仿宋_GB2312" w:cs="Times New Roman"/>
          <w:sz w:val="32"/>
          <w:szCs w:val="32"/>
          <w:lang w:val="en-US" w:eastAsia="zh-CN"/>
        </w:rPr>
        <w:t>25</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108</w:t>
      </w:r>
      <w:r>
        <w:rPr>
          <w:rFonts w:hint="default" w:ascii="Times New Roman" w:hAnsi="Times New Roman" w:eastAsia="仿宋_GB2312" w:cs="Times New Roman"/>
          <w:sz w:val="32"/>
          <w:szCs w:val="32"/>
        </w:rPr>
        <w:t>号</w:t>
      </w:r>
    </w:p>
    <w:bookmarkEnd w:id="0"/>
    <w:p w14:paraId="204716EA">
      <w:pPr>
        <w:rPr>
          <w:rFonts w:ascii="仿宋_GB2312" w:eastAsia="仿宋_GB2312"/>
          <w:sz w:val="32"/>
          <w:szCs w:val="32"/>
        </w:rPr>
      </w:pPr>
    </w:p>
    <w:p w14:paraId="5122EF0A">
      <w:pPr>
        <w:pStyle w:val="11"/>
        <w:spacing w:line="580" w:lineRule="exact"/>
        <w:jc w:val="center"/>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（项目代码：</w:t>
      </w:r>
      <w:r>
        <w:rPr>
          <w:rFonts w:hint="eastAsia" w:eastAsia="仿宋_GB2312" w:cs="Times New Roman"/>
          <w:kern w:val="2"/>
          <w:sz w:val="32"/>
          <w:szCs w:val="32"/>
          <w:lang w:val="en-US" w:eastAsia="zh-CN" w:bidi="ar-SA"/>
        </w:rPr>
        <w:t>2403</w:t>
      </w:r>
      <w:r>
        <w:rPr>
          <w:rFonts w:hint="eastAsia" w:ascii="Times New Roman" w:hAnsi="Times New Roman" w:eastAsia="仿宋_GB2312" w:cs="Times New Roman"/>
          <w:kern w:val="2"/>
          <w:sz w:val="32"/>
          <w:szCs w:val="32"/>
          <w:lang w:val="en-US" w:eastAsia="zh-CN" w:bidi="ar-SA"/>
        </w:rPr>
        <w:t>-120116-89-01-</w:t>
      </w:r>
      <w:r>
        <w:rPr>
          <w:rFonts w:hint="eastAsia" w:eastAsia="仿宋_GB2312" w:cs="Times New Roman"/>
          <w:kern w:val="2"/>
          <w:sz w:val="32"/>
          <w:szCs w:val="32"/>
          <w:lang w:val="en-US" w:eastAsia="zh-CN" w:bidi="ar-SA"/>
        </w:rPr>
        <w:t>966291</w:t>
      </w:r>
      <w:r>
        <w:rPr>
          <w:rFonts w:hint="eastAsia" w:ascii="Times New Roman" w:hAnsi="Times New Roman" w:eastAsia="仿宋_GB2312" w:cs="Times New Roman"/>
          <w:kern w:val="2"/>
          <w:sz w:val="32"/>
          <w:szCs w:val="32"/>
          <w:lang w:val="en-US" w:eastAsia="zh-CN" w:bidi="ar-SA"/>
        </w:rPr>
        <w:t>）</w:t>
      </w:r>
    </w:p>
    <w:p w14:paraId="053A7EB6">
      <w:pPr>
        <w:pStyle w:val="11"/>
        <w:spacing w:line="580" w:lineRule="exact"/>
        <w:jc w:val="center"/>
        <w:rPr>
          <w:rFonts w:hint="eastAsia" w:ascii="Times New Roman" w:hAnsi="Times New Roman" w:eastAsia="仿宋_GB2312" w:cs="Times New Roman"/>
          <w:kern w:val="2"/>
          <w:sz w:val="32"/>
          <w:szCs w:val="32"/>
          <w:lang w:val="en-US" w:eastAsia="zh-CN" w:bidi="ar-SA"/>
        </w:rPr>
      </w:pPr>
    </w:p>
    <w:p w14:paraId="55EE753E">
      <w:pPr>
        <w:pStyle w:val="11"/>
        <w:keepNext w:val="0"/>
        <w:keepLines w:val="0"/>
        <w:pageBreakBefore w:val="0"/>
        <w:widowControl w:val="0"/>
        <w:kinsoku/>
        <w:wordWrap/>
        <w:overflowPunct/>
        <w:topLinePunct w:val="0"/>
        <w:autoSpaceDE/>
        <w:autoSpaceDN/>
        <w:bidi w:val="0"/>
        <w:adjustRightInd w:val="0"/>
        <w:snapToGrid/>
        <w:spacing w:line="660" w:lineRule="exact"/>
        <w:jc w:val="center"/>
        <w:textAlignment w:val="baseline"/>
        <w:rPr>
          <w:rFonts w:hint="eastAsia" w:ascii="方正小标宋简体" w:hAnsi="宋体" w:eastAsia="方正小标宋简体"/>
          <w:color w:val="000000"/>
          <w:sz w:val="44"/>
          <w:highlight w:val="none"/>
          <w:lang w:val="en-US" w:eastAsia="zh-CN"/>
        </w:rPr>
      </w:pPr>
      <w:r>
        <w:rPr>
          <w:rFonts w:hint="eastAsia" w:ascii="方正小标宋简体" w:hAnsi="宋体" w:eastAsia="方正小标宋简体"/>
          <w:color w:val="000000"/>
          <w:sz w:val="44"/>
          <w:highlight w:val="none"/>
        </w:rPr>
        <w:t>关于</w:t>
      </w:r>
      <w:r>
        <w:rPr>
          <w:rFonts w:hint="eastAsia" w:ascii="方正小标宋简体" w:hAnsi="宋体" w:eastAsia="方正小标宋简体"/>
          <w:color w:val="000000"/>
          <w:sz w:val="44"/>
          <w:highlight w:val="none"/>
          <w:lang w:val="en-US" w:eastAsia="zh-CN"/>
        </w:rPr>
        <w:t>津潍高铁110千伏后华线38#塔-41#塔及轻轨华北陶瓷支1#塔-2#塔迁改入地工程</w:t>
      </w:r>
    </w:p>
    <w:p w14:paraId="7D41DDF4">
      <w:pPr>
        <w:pStyle w:val="11"/>
        <w:keepNext w:val="0"/>
        <w:keepLines w:val="0"/>
        <w:pageBreakBefore w:val="0"/>
        <w:widowControl w:val="0"/>
        <w:kinsoku/>
        <w:wordWrap/>
        <w:overflowPunct/>
        <w:topLinePunct w:val="0"/>
        <w:autoSpaceDE/>
        <w:autoSpaceDN/>
        <w:bidi w:val="0"/>
        <w:adjustRightInd w:val="0"/>
        <w:snapToGrid/>
        <w:spacing w:line="660" w:lineRule="exact"/>
        <w:jc w:val="center"/>
        <w:textAlignment w:val="baseline"/>
        <w:rPr>
          <w:rFonts w:ascii="方正小标宋简体" w:hAnsi="宋体" w:eastAsia="方正小标宋简体"/>
          <w:color w:val="000000"/>
          <w:sz w:val="44"/>
          <w:highlight w:val="none"/>
        </w:rPr>
      </w:pPr>
      <w:r>
        <w:rPr>
          <w:rFonts w:hint="eastAsia" w:ascii="方正小标宋简体" w:hAnsi="宋体" w:eastAsia="方正小标宋简体"/>
          <w:color w:val="000000"/>
          <w:sz w:val="44"/>
          <w:highlight w:val="none"/>
        </w:rPr>
        <w:t>环境影响报告表的批复</w:t>
      </w:r>
    </w:p>
    <w:p w14:paraId="31AE4A7E">
      <w:pPr>
        <w:spacing w:line="0" w:lineRule="atLeast"/>
        <w:jc w:val="center"/>
        <w:rPr>
          <w:rFonts w:ascii="宋体" w:hAnsi="宋体"/>
          <w:b/>
          <w:color w:val="000000"/>
          <w:sz w:val="44"/>
          <w:highlight w:val="none"/>
        </w:rPr>
      </w:pPr>
    </w:p>
    <w:p w14:paraId="0906BAA3">
      <w:pPr>
        <w:keepNext w:val="0"/>
        <w:keepLines w:val="0"/>
        <w:pageBreakBefore w:val="0"/>
        <w:widowControl w:val="0"/>
        <w:kinsoku/>
        <w:wordWrap/>
        <w:overflowPunct/>
        <w:topLinePunct w:val="0"/>
        <w:autoSpaceDE/>
        <w:autoSpaceDN/>
        <w:bidi w:val="0"/>
        <w:adjustRightInd/>
        <w:snapToGrid/>
        <w:spacing w:line="610" w:lineRule="exact"/>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国网天津市电力公司</w:t>
      </w:r>
      <w:r>
        <w:rPr>
          <w:rFonts w:hint="eastAsia" w:eastAsia="仿宋_GB2312" w:cs="Times New Roman"/>
          <w:sz w:val="32"/>
          <w:szCs w:val="32"/>
          <w:lang w:eastAsia="zh-CN"/>
        </w:rPr>
        <w:t>滨海供电</w:t>
      </w:r>
      <w:r>
        <w:rPr>
          <w:rFonts w:hint="default" w:ascii="Times New Roman" w:hAnsi="Times New Roman" w:eastAsia="仿宋_GB2312" w:cs="Times New Roman"/>
          <w:sz w:val="32"/>
          <w:szCs w:val="32"/>
        </w:rPr>
        <w:t>分公司：</w:t>
      </w:r>
    </w:p>
    <w:p w14:paraId="20B52328">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你公司呈报的《</w:t>
      </w:r>
      <w:r>
        <w:rPr>
          <w:rFonts w:hint="default" w:ascii="Times New Roman" w:hAnsi="Times New Roman" w:eastAsia="仿宋_GB2312" w:cs="Times New Roman"/>
          <w:sz w:val="32"/>
          <w:szCs w:val="32"/>
          <w:lang w:val="en-US" w:eastAsia="zh-CN"/>
        </w:rPr>
        <w:t>津潍高铁110千伏后华线38#塔-41#塔及轻轨华北陶瓷支1#塔-2#塔迁改入地工程</w:t>
      </w:r>
      <w:r>
        <w:rPr>
          <w:rFonts w:hint="eastAsia" w:eastAsia="仿宋_GB2312" w:cs="Times New Roman"/>
          <w:sz w:val="32"/>
          <w:szCs w:val="32"/>
          <w:highlight w:val="none"/>
          <w:lang w:eastAsia="zh-CN"/>
        </w:rPr>
        <w:t>环境影响报告表的请示</w:t>
      </w:r>
      <w:r>
        <w:rPr>
          <w:rFonts w:hint="default" w:ascii="Times New Roman" w:hAnsi="Times New Roman" w:eastAsia="仿宋_GB2312" w:cs="Times New Roman"/>
          <w:sz w:val="32"/>
          <w:szCs w:val="32"/>
          <w:highlight w:val="none"/>
        </w:rPr>
        <w:t>》、</w:t>
      </w:r>
      <w:r>
        <w:rPr>
          <w:rFonts w:hint="eastAsia" w:eastAsia="仿宋_GB2312" w:cs="Times New Roman"/>
          <w:sz w:val="32"/>
          <w:szCs w:val="32"/>
          <w:lang w:eastAsia="zh-CN"/>
        </w:rPr>
        <w:t>联合泰泽环境科技发展有限公司</w:t>
      </w:r>
      <w:r>
        <w:rPr>
          <w:rFonts w:hint="eastAsia" w:eastAsia="仿宋_GB2312" w:cs="Times New Roman"/>
          <w:sz w:val="32"/>
          <w:szCs w:val="32"/>
          <w:lang w:val="en-US" w:eastAsia="zh-CN"/>
        </w:rPr>
        <w:t>编制的</w:t>
      </w:r>
      <w:r>
        <w:rPr>
          <w:rFonts w:hint="default" w:eastAsia="仿宋_GB2312" w:cs="Times New Roman"/>
          <w:sz w:val="32"/>
          <w:szCs w:val="32"/>
          <w:lang w:val="en-US" w:eastAsia="zh-CN"/>
        </w:rPr>
        <w:t>《津潍高铁110千伏后华线38#塔-41#塔及轻轨华北陶瓷支1#塔-2#塔迁改入地工程环境影</w:t>
      </w:r>
      <w:r>
        <w:rPr>
          <w:rFonts w:hint="default" w:ascii="Times New Roman" w:hAnsi="Times New Roman" w:eastAsia="仿宋_GB2312" w:cs="Times New Roman"/>
          <w:sz w:val="32"/>
          <w:szCs w:val="32"/>
        </w:rPr>
        <w:t>响报告表》</w:t>
      </w:r>
      <w:r>
        <w:rPr>
          <w:rFonts w:hint="eastAsia" w:eastAsia="仿宋_GB2312" w:cs="Times New Roman"/>
          <w:sz w:val="32"/>
          <w:szCs w:val="32"/>
          <w:lang w:val="en-US" w:eastAsia="zh-CN"/>
        </w:rPr>
        <w:t>等文件</w:t>
      </w:r>
      <w:r>
        <w:rPr>
          <w:rFonts w:hint="default" w:ascii="Times New Roman" w:hAnsi="Times New Roman" w:eastAsia="仿宋_GB2312" w:cs="Times New Roman"/>
          <w:sz w:val="32"/>
          <w:szCs w:val="32"/>
        </w:rPr>
        <w:t>收悉。经研究，现批复如下：</w:t>
      </w:r>
    </w:p>
    <w:p w14:paraId="131FB32C">
      <w:pPr>
        <w:keepNext w:val="0"/>
        <w:keepLines w:val="0"/>
        <w:pageBreakBefore w:val="0"/>
        <w:widowControl w:val="0"/>
        <w:numPr>
          <w:ilvl w:val="0"/>
          <w:numId w:val="1"/>
        </w:numPr>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color w:val="auto"/>
          <w:sz w:val="32"/>
          <w:szCs w:val="32"/>
          <w:lang w:val="en-US" w:eastAsia="zh-CN"/>
        </w:rPr>
        <w:t>为</w:t>
      </w:r>
      <w:r>
        <w:rPr>
          <w:rFonts w:hint="eastAsia" w:eastAsia="仿宋_GB2312" w:cs="Times New Roman"/>
          <w:color w:val="auto"/>
          <w:sz w:val="32"/>
          <w:szCs w:val="32"/>
          <w:lang w:val="en-US" w:eastAsia="zh-CN"/>
        </w:rPr>
        <w:t>满足津潍高速铁路施工建设需求，</w:t>
      </w:r>
      <w:r>
        <w:rPr>
          <w:rFonts w:hint="default" w:ascii="Times New Roman" w:hAnsi="Times New Roman" w:eastAsia="仿宋_GB2312" w:cs="Times New Roman"/>
          <w:sz w:val="32"/>
          <w:szCs w:val="32"/>
        </w:rPr>
        <w:t>你公司拟在</w:t>
      </w:r>
      <w:r>
        <w:rPr>
          <w:rFonts w:hint="eastAsia" w:eastAsia="仿宋_GB2312" w:cs="Times New Roman"/>
          <w:sz w:val="32"/>
          <w:szCs w:val="32"/>
          <w:lang w:val="en-US" w:eastAsia="zh-CN"/>
        </w:rPr>
        <w:t>滨海新区胡家园街</w:t>
      </w:r>
      <w:r>
        <w:rPr>
          <w:rFonts w:hint="eastAsia" w:eastAsia="仿宋_GB2312"/>
          <w:bCs/>
          <w:sz w:val="32"/>
          <w:szCs w:val="32"/>
          <w:lang w:eastAsia="zh-CN"/>
        </w:rPr>
        <w:t>开展</w:t>
      </w:r>
      <w:r>
        <w:rPr>
          <w:rFonts w:hint="eastAsia" w:eastAsia="仿宋_GB2312"/>
          <w:bCs/>
          <w:sz w:val="32"/>
          <w:szCs w:val="32"/>
          <w:lang w:val="en-US" w:eastAsia="zh-CN"/>
        </w:rPr>
        <w:t>津潍高铁110千伏后华线38#塔-41#塔及轻轨华北陶瓷支1#塔-2#塔迁改入地工程</w:t>
      </w:r>
      <w:r>
        <w:rPr>
          <w:rFonts w:hint="eastAsia" w:eastAsia="仿宋_GB2312" w:cs="Times New Roman"/>
          <w:sz w:val="32"/>
          <w:szCs w:val="32"/>
          <w:lang w:val="en" w:eastAsia="zh-CN"/>
        </w:rPr>
        <w:t>（以下简称“工程”）。</w:t>
      </w:r>
      <w:r>
        <w:rPr>
          <w:rFonts w:hint="eastAsia" w:eastAsia="仿宋_GB2312" w:cs="Times New Roman"/>
          <w:sz w:val="32"/>
          <w:szCs w:val="32"/>
          <w:lang w:val="en-US" w:eastAsia="zh-CN"/>
        </w:rPr>
        <w:t>工程主要内容包括拆除现状</w:t>
      </w:r>
      <w:r>
        <w:rPr>
          <w:rFonts w:hint="eastAsia" w:eastAsia="仿宋_GB2312"/>
          <w:bCs/>
          <w:sz w:val="32"/>
          <w:szCs w:val="32"/>
          <w:lang w:val="en-US" w:eastAsia="zh-CN"/>
        </w:rPr>
        <w:t>后华线38#塔-41#塔及</w:t>
      </w:r>
      <w:r>
        <w:rPr>
          <w:rFonts w:hint="eastAsia" w:eastAsia="仿宋_GB2312" w:cs="Times New Roman"/>
          <w:sz w:val="32"/>
          <w:szCs w:val="32"/>
          <w:lang w:val="en-US" w:eastAsia="zh-CN"/>
        </w:rPr>
        <w:t>现状</w:t>
      </w:r>
      <w:r>
        <w:rPr>
          <w:rFonts w:hint="eastAsia" w:eastAsia="仿宋_GB2312"/>
          <w:bCs/>
          <w:sz w:val="32"/>
          <w:szCs w:val="32"/>
          <w:lang w:val="en-US" w:eastAsia="zh-CN"/>
        </w:rPr>
        <w:t>后华线40#塔—轻轨华北陶瓷支2#塔间</w:t>
      </w:r>
      <w:r>
        <w:rPr>
          <w:rFonts w:hint="eastAsia" w:eastAsia="仿宋_GB2312" w:cs="Times New Roman"/>
          <w:sz w:val="32"/>
          <w:szCs w:val="32"/>
          <w:lang w:val="en-US" w:eastAsia="zh-CN"/>
        </w:rPr>
        <w:t>路径长度为1.1千米的11</w:t>
      </w:r>
      <w:r>
        <w:rPr>
          <w:rFonts w:hint="default" w:eastAsia="仿宋_GB2312" w:cs="Times New Roman"/>
          <w:sz w:val="32"/>
          <w:szCs w:val="32"/>
          <w:lang w:val="en-US" w:eastAsia="zh-CN"/>
        </w:rPr>
        <w:t>0kV</w:t>
      </w:r>
      <w:r>
        <w:rPr>
          <w:rFonts w:hint="eastAsia" w:eastAsia="仿宋_GB2312" w:cs="Times New Roman"/>
          <w:sz w:val="32"/>
          <w:szCs w:val="32"/>
          <w:lang w:val="en-US" w:eastAsia="zh-CN"/>
        </w:rPr>
        <w:t>单回</w:t>
      </w:r>
      <w:r>
        <w:rPr>
          <w:rFonts w:hint="eastAsia" w:eastAsia="仿宋_GB2312"/>
          <w:bCs/>
          <w:sz w:val="32"/>
          <w:szCs w:val="32"/>
          <w:lang w:eastAsia="zh-CN"/>
        </w:rPr>
        <w:t>输电线路、拆除</w:t>
      </w:r>
      <w:r>
        <w:rPr>
          <w:rFonts w:hint="eastAsia" w:eastAsia="仿宋_GB2312"/>
          <w:bCs/>
          <w:sz w:val="32"/>
          <w:szCs w:val="32"/>
          <w:lang w:val="en-US" w:eastAsia="zh-CN"/>
        </w:rPr>
        <w:t>现状塔5基；新建</w:t>
      </w:r>
      <w:r>
        <w:rPr>
          <w:rFonts w:hint="eastAsia" w:eastAsia="仿宋_GB2312" w:cs="Times New Roman"/>
          <w:sz w:val="32"/>
          <w:szCs w:val="32"/>
          <w:lang w:val="en-US" w:eastAsia="zh-CN"/>
        </w:rPr>
        <w:t>11</w:t>
      </w:r>
      <w:r>
        <w:rPr>
          <w:rFonts w:hint="default" w:eastAsia="仿宋_GB2312" w:cs="Times New Roman"/>
          <w:sz w:val="32"/>
          <w:szCs w:val="32"/>
          <w:lang w:val="en-US" w:eastAsia="zh-CN"/>
        </w:rPr>
        <w:t>0kV</w:t>
      </w:r>
      <w:r>
        <w:rPr>
          <w:rFonts w:hint="eastAsia" w:eastAsia="仿宋_GB2312" w:cs="Times New Roman"/>
          <w:sz w:val="32"/>
          <w:szCs w:val="32"/>
          <w:lang w:val="en-US" w:eastAsia="zh-CN"/>
        </w:rPr>
        <w:t>单回</w:t>
      </w:r>
      <w:r>
        <w:rPr>
          <w:rFonts w:hint="eastAsia" w:eastAsia="仿宋_GB2312"/>
          <w:bCs/>
          <w:sz w:val="32"/>
          <w:szCs w:val="32"/>
          <w:lang w:eastAsia="zh-CN"/>
        </w:rPr>
        <w:t>埋地线缆路径总长为</w:t>
      </w:r>
      <w:r>
        <w:rPr>
          <w:rFonts w:hint="eastAsia" w:eastAsia="仿宋_GB2312"/>
          <w:bCs/>
          <w:sz w:val="32"/>
          <w:szCs w:val="32"/>
          <w:lang w:val="en-US" w:eastAsia="zh-CN"/>
        </w:rPr>
        <w:t>1.155千米，新建1#、2#塔及电缆平台等。</w:t>
      </w:r>
      <w:r>
        <w:rPr>
          <w:rFonts w:hint="eastAsia" w:eastAsia="仿宋_GB2312"/>
          <w:bCs/>
          <w:sz w:val="32"/>
          <w:szCs w:val="32"/>
          <w:lang w:eastAsia="zh-CN"/>
        </w:rPr>
        <w:t>工程</w:t>
      </w:r>
      <w:r>
        <w:rPr>
          <w:rFonts w:hint="default" w:eastAsia="仿宋_GB2312"/>
          <w:bCs/>
          <w:sz w:val="32"/>
          <w:szCs w:val="32"/>
        </w:rPr>
        <w:t>总投资为</w:t>
      </w:r>
      <w:r>
        <w:rPr>
          <w:rFonts w:hint="eastAsia" w:eastAsia="仿宋_GB2312"/>
          <w:bCs/>
          <w:sz w:val="32"/>
          <w:szCs w:val="32"/>
          <w:lang w:val="en-US" w:eastAsia="zh-CN"/>
        </w:rPr>
        <w:t>2200</w:t>
      </w:r>
      <w:r>
        <w:rPr>
          <w:rFonts w:hint="default" w:eastAsia="仿宋_GB2312"/>
          <w:bCs/>
          <w:sz w:val="32"/>
          <w:szCs w:val="32"/>
        </w:rPr>
        <w:t>万元，环保投资</w:t>
      </w:r>
      <w:r>
        <w:rPr>
          <w:rFonts w:hint="eastAsia" w:eastAsia="仿宋_GB2312"/>
          <w:bCs/>
          <w:sz w:val="32"/>
          <w:szCs w:val="32"/>
          <w:lang w:val="en-US" w:eastAsia="zh-CN"/>
        </w:rPr>
        <w:t>78</w:t>
      </w:r>
      <w:r>
        <w:rPr>
          <w:rFonts w:hint="default" w:eastAsia="仿宋_GB2312"/>
          <w:bCs/>
          <w:sz w:val="32"/>
          <w:szCs w:val="32"/>
        </w:rPr>
        <w:t>万元，约占总投资的</w:t>
      </w:r>
      <w:r>
        <w:rPr>
          <w:rFonts w:hint="eastAsia" w:eastAsia="仿宋_GB2312" w:cs="Times New Roman"/>
          <w:sz w:val="32"/>
          <w:szCs w:val="32"/>
          <w:lang w:val="en-US" w:eastAsia="zh-CN"/>
        </w:rPr>
        <w:t>3.55</w:t>
      </w:r>
      <w:r>
        <w:rPr>
          <w:rFonts w:hint="default" w:ascii="Times New Roman" w:hAnsi="Times New Roman" w:eastAsia="仿宋_GB2312" w:cs="Times New Roman"/>
          <w:sz w:val="32"/>
          <w:szCs w:val="32"/>
        </w:rPr>
        <w:t>%。</w:t>
      </w:r>
    </w:p>
    <w:p w14:paraId="6A0711E1">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19</w:t>
      </w:r>
      <w:r>
        <w:rPr>
          <w:rFonts w:hint="default" w:ascii="Times New Roman" w:hAnsi="Times New Roman" w:eastAsia="仿宋_GB2312" w:cs="Times New Roman"/>
          <w:sz w:val="32"/>
          <w:szCs w:val="32"/>
        </w:rPr>
        <w:t>日至</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25</w:t>
      </w:r>
      <w:r>
        <w:rPr>
          <w:rFonts w:hint="default" w:ascii="Times New Roman" w:hAnsi="Times New Roman" w:eastAsia="仿宋_GB2312" w:cs="Times New Roman"/>
          <w:sz w:val="32"/>
          <w:szCs w:val="32"/>
        </w:rPr>
        <w:t>日，我局将该</w:t>
      </w:r>
      <w:r>
        <w:rPr>
          <w:rFonts w:hint="eastAsia" w:eastAsia="仿宋_GB2312"/>
          <w:bCs/>
          <w:sz w:val="32"/>
          <w:szCs w:val="32"/>
          <w:lang w:eastAsia="zh-CN"/>
        </w:rPr>
        <w:t>工程</w:t>
      </w:r>
      <w:r>
        <w:rPr>
          <w:rFonts w:hint="default" w:ascii="Times New Roman" w:hAnsi="Times New Roman" w:eastAsia="仿宋_GB2312" w:cs="Times New Roman"/>
          <w:sz w:val="32"/>
          <w:szCs w:val="32"/>
          <w:lang w:eastAsia="zh-CN"/>
        </w:rPr>
        <w:t>环评</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受理情况进行</w:t>
      </w:r>
      <w:r>
        <w:rPr>
          <w:rFonts w:hint="eastAsia" w:ascii="Times New Roman" w:hAnsi="Times New Roman" w:eastAsia="仿宋_GB2312" w:cs="Times New Roman"/>
          <w:sz w:val="32"/>
          <w:szCs w:val="32"/>
          <w:lang w:val="en-US" w:eastAsia="zh-CN"/>
        </w:rPr>
        <w:t>了</w:t>
      </w:r>
      <w:r>
        <w:rPr>
          <w:rFonts w:hint="default" w:ascii="Times New Roman" w:hAnsi="Times New Roman" w:eastAsia="仿宋_GB2312" w:cs="Times New Roman"/>
          <w:sz w:val="32"/>
          <w:szCs w:val="32"/>
        </w:rPr>
        <w:t>公示</w:t>
      </w:r>
      <w:r>
        <w:rPr>
          <w:rFonts w:hint="default" w:eastAsia="仿宋_GB2312" w:cs="Times New Roman"/>
          <w:sz w:val="32"/>
          <w:szCs w:val="32"/>
          <w:lang w:val="en-US" w:eastAsia="zh-CN"/>
        </w:rPr>
        <w:t>；</w:t>
      </w:r>
      <w:r>
        <w:rPr>
          <w:rFonts w:hint="eastAsia" w:eastAsia="仿宋_GB2312" w:cs="Times New Roman"/>
          <w:color w:val="auto"/>
          <w:sz w:val="32"/>
          <w:szCs w:val="32"/>
          <w:highlight w:val="none"/>
          <w:lang w:val="en-US" w:eastAsia="zh-CN"/>
        </w:rPr>
        <w:t>3</w:t>
      </w:r>
      <w:r>
        <w:rPr>
          <w:rFonts w:hint="default" w:eastAsia="仿宋_GB2312"/>
          <w:bCs/>
          <w:color w:val="auto"/>
          <w:sz w:val="32"/>
          <w:szCs w:val="32"/>
          <w:highlight w:val="none"/>
          <w:lang w:val="en-US" w:eastAsia="zh-CN"/>
        </w:rPr>
        <w:t>月</w:t>
      </w:r>
      <w:r>
        <w:rPr>
          <w:rFonts w:hint="eastAsia" w:eastAsia="仿宋_GB2312"/>
          <w:bCs/>
          <w:color w:val="auto"/>
          <w:sz w:val="32"/>
          <w:szCs w:val="32"/>
          <w:highlight w:val="none"/>
          <w:lang w:val="en-US" w:eastAsia="zh-CN"/>
        </w:rPr>
        <w:t>28</w:t>
      </w:r>
      <w:r>
        <w:rPr>
          <w:rFonts w:hint="default" w:eastAsia="仿宋_GB2312"/>
          <w:bCs/>
          <w:color w:val="auto"/>
          <w:sz w:val="32"/>
          <w:szCs w:val="32"/>
          <w:highlight w:val="none"/>
          <w:lang w:val="en-US" w:eastAsia="zh-CN"/>
        </w:rPr>
        <w:t>日至</w:t>
      </w:r>
      <w:r>
        <w:rPr>
          <w:rFonts w:hint="eastAsia" w:eastAsia="仿宋_GB2312"/>
          <w:bCs/>
          <w:color w:val="auto"/>
          <w:sz w:val="32"/>
          <w:szCs w:val="32"/>
          <w:highlight w:val="none"/>
          <w:lang w:val="en-US" w:eastAsia="zh-CN"/>
        </w:rPr>
        <w:t>4</w:t>
      </w:r>
      <w:r>
        <w:rPr>
          <w:rFonts w:hint="default" w:eastAsia="仿宋_GB2312"/>
          <w:bCs/>
          <w:color w:val="auto"/>
          <w:sz w:val="32"/>
          <w:szCs w:val="32"/>
          <w:highlight w:val="none"/>
          <w:lang w:val="en-US" w:eastAsia="zh-CN"/>
        </w:rPr>
        <w:t>月</w:t>
      </w:r>
      <w:r>
        <w:rPr>
          <w:rFonts w:hint="eastAsia" w:eastAsia="仿宋_GB2312"/>
          <w:bCs/>
          <w:color w:val="auto"/>
          <w:sz w:val="32"/>
          <w:szCs w:val="32"/>
          <w:highlight w:val="none"/>
          <w:lang w:val="en-US" w:eastAsia="zh-CN"/>
        </w:rPr>
        <w:t>3</w:t>
      </w:r>
      <w:r>
        <w:rPr>
          <w:rFonts w:hint="default" w:eastAsia="仿宋_GB2312"/>
          <w:bCs/>
          <w:color w:val="auto"/>
          <w:sz w:val="32"/>
          <w:szCs w:val="32"/>
          <w:highlight w:val="none"/>
          <w:lang w:val="en-US" w:eastAsia="zh-CN"/>
        </w:rPr>
        <w:t>日</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将该</w:t>
      </w:r>
      <w:r>
        <w:rPr>
          <w:rFonts w:hint="eastAsia" w:eastAsia="仿宋_GB2312"/>
          <w:bCs/>
          <w:sz w:val="32"/>
          <w:szCs w:val="32"/>
          <w:lang w:eastAsia="zh-CN"/>
        </w:rPr>
        <w:t>工程</w:t>
      </w:r>
      <w:r>
        <w:rPr>
          <w:rFonts w:hint="default" w:ascii="Times New Roman" w:hAnsi="Times New Roman" w:eastAsia="仿宋_GB2312" w:cs="Times New Roman"/>
          <w:sz w:val="32"/>
          <w:szCs w:val="32"/>
          <w:lang w:eastAsia="zh-CN"/>
        </w:rPr>
        <w:t>环评</w:t>
      </w:r>
      <w:r>
        <w:rPr>
          <w:rFonts w:hint="eastAsia" w:eastAsia="仿宋_GB2312" w:cs="Times New Roman"/>
          <w:sz w:val="32"/>
          <w:szCs w:val="32"/>
          <w:lang w:eastAsia="zh-CN"/>
        </w:rPr>
        <w:t>的</w:t>
      </w:r>
      <w:r>
        <w:rPr>
          <w:rFonts w:hint="default" w:ascii="Times New Roman" w:hAnsi="Times New Roman" w:eastAsia="仿宋_GB2312" w:cs="Times New Roman"/>
          <w:sz w:val="32"/>
          <w:szCs w:val="32"/>
        </w:rPr>
        <w:t>拟批复情况进行</w:t>
      </w:r>
      <w:r>
        <w:rPr>
          <w:rFonts w:hint="eastAsia" w:eastAsia="仿宋_GB2312" w:cs="Times New Roman"/>
          <w:sz w:val="32"/>
          <w:szCs w:val="32"/>
          <w:lang w:val="en-US" w:eastAsia="zh-CN"/>
        </w:rPr>
        <w:t>了</w:t>
      </w:r>
      <w:r>
        <w:rPr>
          <w:rFonts w:hint="default" w:ascii="Times New Roman" w:hAnsi="Times New Roman" w:eastAsia="仿宋_GB2312" w:cs="Times New Roman"/>
          <w:sz w:val="32"/>
          <w:szCs w:val="32"/>
        </w:rPr>
        <w:t>公示；根据公众反馈意见情况及环评报告结论，在严格落实环评报告所提出的各项污染防治措施、确保各类污染物稳定达标的前提下，</w:t>
      </w:r>
      <w:r>
        <w:rPr>
          <w:rFonts w:hint="eastAsia" w:eastAsia="仿宋_GB2312" w:cs="Times New Roman"/>
          <w:sz w:val="32"/>
          <w:szCs w:val="32"/>
          <w:lang w:val="en-US" w:eastAsia="zh-CN"/>
        </w:rPr>
        <w:t>该</w:t>
      </w:r>
      <w:r>
        <w:rPr>
          <w:rFonts w:hint="eastAsia" w:eastAsia="仿宋_GB2312"/>
          <w:bCs/>
          <w:sz w:val="32"/>
          <w:szCs w:val="32"/>
          <w:lang w:eastAsia="zh-CN"/>
        </w:rPr>
        <w:t>工程</w:t>
      </w:r>
      <w:r>
        <w:rPr>
          <w:rFonts w:hint="eastAsia" w:eastAsia="仿宋_GB2312" w:cs="Times New Roman"/>
          <w:sz w:val="32"/>
          <w:szCs w:val="32"/>
          <w:lang w:val="en-US" w:eastAsia="zh-CN"/>
        </w:rPr>
        <w:t>具备环境可行性</w:t>
      </w:r>
      <w:r>
        <w:rPr>
          <w:rFonts w:hint="default" w:ascii="Times New Roman" w:hAnsi="Times New Roman" w:eastAsia="仿宋_GB2312" w:cs="Times New Roman"/>
          <w:sz w:val="32"/>
          <w:szCs w:val="32"/>
        </w:rPr>
        <w:t>。</w:t>
      </w:r>
    </w:p>
    <w:p w14:paraId="2BED1A62">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r>
        <w:rPr>
          <w:rFonts w:hint="eastAsia" w:eastAsia="仿宋_GB2312"/>
          <w:bCs/>
          <w:sz w:val="32"/>
          <w:szCs w:val="32"/>
          <w:lang w:eastAsia="zh-CN"/>
        </w:rPr>
        <w:t>工程</w:t>
      </w:r>
      <w:r>
        <w:rPr>
          <w:rFonts w:hint="default" w:ascii="Times New Roman" w:hAnsi="Times New Roman" w:eastAsia="仿宋_GB2312" w:cs="Times New Roman"/>
          <w:sz w:val="32"/>
          <w:szCs w:val="32"/>
        </w:rPr>
        <w:t>建设和运营期间，你公司应重点做好以下工作：</w:t>
      </w:r>
    </w:p>
    <w:p w14:paraId="19E7B148">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1.施工期间应严格执行国家相关环保法律法规和落实环评报告中提出的污染防范措施：做到合法施工，文明生产，减少扬尘污染；</w:t>
      </w:r>
      <w:r>
        <w:rPr>
          <w:rFonts w:hint="eastAsia" w:eastAsia="仿宋_GB2312"/>
          <w:sz w:val="32"/>
          <w:szCs w:val="32"/>
          <w:lang w:eastAsia="zh-CN"/>
        </w:rPr>
        <w:t>妥善处理</w:t>
      </w:r>
      <w:r>
        <w:rPr>
          <w:rFonts w:hint="eastAsia" w:eastAsia="仿宋_GB2312"/>
          <w:sz w:val="32"/>
          <w:szCs w:val="32"/>
        </w:rPr>
        <w:t>施工</w:t>
      </w:r>
      <w:r>
        <w:rPr>
          <w:rFonts w:hint="eastAsia" w:eastAsia="仿宋_GB2312"/>
          <w:sz w:val="32"/>
          <w:szCs w:val="32"/>
          <w:lang w:eastAsia="zh-CN"/>
        </w:rPr>
        <w:t>产生的施工</w:t>
      </w:r>
      <w:r>
        <w:rPr>
          <w:rFonts w:hint="eastAsia" w:eastAsia="仿宋_GB2312"/>
          <w:sz w:val="32"/>
          <w:szCs w:val="32"/>
        </w:rPr>
        <w:t>废水</w:t>
      </w:r>
      <w:r>
        <w:rPr>
          <w:rFonts w:hint="eastAsia" w:eastAsia="仿宋_GB2312" w:cs="Times New Roman"/>
          <w:sz w:val="32"/>
          <w:szCs w:val="32"/>
          <w:lang w:val="en-US" w:eastAsia="zh-CN"/>
        </w:rPr>
        <w:t>和</w:t>
      </w:r>
      <w:r>
        <w:rPr>
          <w:rFonts w:hint="default" w:ascii="Times New Roman" w:hAnsi="Times New Roman" w:eastAsia="仿宋_GB2312" w:cs="Times New Roman"/>
          <w:sz w:val="32"/>
          <w:szCs w:val="32"/>
        </w:rPr>
        <w:t>车辆</w:t>
      </w:r>
      <w:r>
        <w:rPr>
          <w:rFonts w:hint="eastAsia" w:eastAsia="仿宋_GB2312" w:cs="Times New Roman"/>
          <w:sz w:val="32"/>
          <w:szCs w:val="32"/>
          <w:lang w:val="en-US" w:eastAsia="zh-CN"/>
        </w:rPr>
        <w:t>冲洗</w:t>
      </w:r>
      <w:r>
        <w:rPr>
          <w:rFonts w:hint="default" w:ascii="Times New Roman" w:hAnsi="Times New Roman" w:eastAsia="仿宋_GB2312" w:cs="Times New Roman"/>
          <w:sz w:val="32"/>
          <w:szCs w:val="32"/>
        </w:rPr>
        <w:t>废水</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经沉淀后用于</w:t>
      </w:r>
      <w:r>
        <w:rPr>
          <w:rFonts w:hint="default" w:ascii="Times New Roman" w:hAnsi="Times New Roman" w:eastAsia="仿宋_GB2312" w:cs="Times New Roman"/>
          <w:sz w:val="32"/>
          <w:szCs w:val="32"/>
          <w:lang w:val="en-US" w:eastAsia="zh-CN"/>
        </w:rPr>
        <w:t>施工现场洒水抑尘；</w:t>
      </w:r>
      <w:r>
        <w:rPr>
          <w:rFonts w:hint="default" w:ascii="Times New Roman" w:hAnsi="Times New Roman" w:eastAsia="仿宋_GB2312" w:cs="Times New Roman"/>
          <w:sz w:val="32"/>
          <w:szCs w:val="32"/>
        </w:rPr>
        <w:t>施工场地固体垃圾应及时清运；合理安排施工时间和施工区域，加强对高噪声机械的管理</w:t>
      </w:r>
      <w:r>
        <w:rPr>
          <w:rFonts w:hint="eastAsia" w:eastAsia="仿宋_GB2312" w:cs="Times New Roman"/>
          <w:sz w:val="32"/>
          <w:szCs w:val="32"/>
          <w:lang w:eastAsia="zh-CN"/>
        </w:rPr>
        <w:t>，</w:t>
      </w:r>
      <w:r>
        <w:rPr>
          <w:rFonts w:hint="eastAsia" w:eastAsia="仿宋_GB2312" w:cs="Times New Roman"/>
          <w:sz w:val="32"/>
          <w:szCs w:val="32"/>
          <w:lang w:val="en-US" w:eastAsia="zh-CN"/>
        </w:rPr>
        <w:t>采取有效的隔声、降噪及减振措施</w:t>
      </w:r>
      <w:r>
        <w:rPr>
          <w:rFonts w:hint="default" w:ascii="Times New Roman" w:hAnsi="Times New Roman" w:eastAsia="仿宋_GB2312" w:cs="Times New Roman"/>
          <w:sz w:val="32"/>
          <w:szCs w:val="32"/>
        </w:rPr>
        <w:t>。</w:t>
      </w:r>
    </w:p>
    <w:p w14:paraId="4EEEBA8D">
      <w:pPr>
        <w:keepNext w:val="0"/>
        <w:keepLines w:val="0"/>
        <w:pageBreakBefore w:val="0"/>
        <w:widowControl w:val="0"/>
        <w:kinsoku/>
        <w:wordWrap/>
        <w:overflowPunct/>
        <w:topLinePunct w:val="0"/>
        <w:autoSpaceDE/>
        <w:autoSpaceDN/>
        <w:bidi w:val="0"/>
        <w:snapToGrid/>
        <w:spacing w:line="67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eastAsia="仿宋_GB2312" w:cs="Times New Roman"/>
          <w:sz w:val="32"/>
          <w:szCs w:val="32"/>
          <w:lang w:val="en-US" w:eastAsia="zh-CN"/>
        </w:rPr>
        <w:t>施工过程中要</w:t>
      </w:r>
      <w:r>
        <w:rPr>
          <w:rFonts w:hint="default" w:ascii="Times New Roman" w:hAnsi="Times New Roman" w:eastAsia="仿宋_GB2312" w:cs="Times New Roman"/>
          <w:sz w:val="32"/>
          <w:szCs w:val="32"/>
          <w:lang w:val="en-US" w:eastAsia="zh-CN"/>
        </w:rPr>
        <w:t>采取全面的生态保护和水土保持措施</w:t>
      </w:r>
      <w:r>
        <w:rPr>
          <w:rFonts w:hint="eastAsia" w:eastAsia="仿宋_GB2312" w:cs="Times New Roman"/>
          <w:sz w:val="32"/>
          <w:szCs w:val="32"/>
          <w:lang w:val="en-US" w:eastAsia="zh-CN"/>
        </w:rPr>
        <w:t>；</w:t>
      </w:r>
      <w:r>
        <w:rPr>
          <w:rFonts w:hint="eastAsia" w:eastAsia="仿宋_GB2312" w:cs="Times New Roman"/>
          <w:sz w:val="32"/>
          <w:szCs w:val="32"/>
          <w:lang w:eastAsia="zh-CN"/>
        </w:rPr>
        <w:t>严格控制临时用地边界，并按要求及时做好生态恢复</w:t>
      </w:r>
      <w:r>
        <w:rPr>
          <w:rFonts w:hint="eastAsia" w:ascii="Times New Roman" w:hAnsi="Times New Roman" w:eastAsia="仿宋_GB2312" w:cs="Times New Roman"/>
          <w:sz w:val="32"/>
          <w:szCs w:val="32"/>
          <w:lang w:val="en-US" w:eastAsia="zh-CN"/>
        </w:rPr>
        <w:t>。</w:t>
      </w:r>
    </w:p>
    <w:p w14:paraId="06A61582">
      <w:pPr>
        <w:keepNext w:val="0"/>
        <w:keepLines w:val="0"/>
        <w:pageBreakBefore w:val="0"/>
        <w:widowControl w:val="0"/>
        <w:kinsoku/>
        <w:wordWrap/>
        <w:overflowPunct/>
        <w:topLinePunct w:val="0"/>
        <w:autoSpaceDE/>
        <w:autoSpaceDN/>
        <w:bidi w:val="0"/>
        <w:snapToGrid/>
        <w:spacing w:line="600" w:lineRule="exact"/>
        <w:ind w:firstLine="640" w:firstLineChars="200"/>
        <w:textAlignment w:val="baseline"/>
        <w:outlineLvl w:val="9"/>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严格落实</w:t>
      </w:r>
      <w:r>
        <w:rPr>
          <w:rFonts w:hint="default" w:ascii="Times New Roman" w:hAnsi="Times New Roman" w:eastAsia="仿宋_GB2312" w:cs="Times New Roman"/>
          <w:color w:val="auto"/>
          <w:sz w:val="32"/>
          <w:szCs w:val="32"/>
        </w:rPr>
        <w:t>控制工频电场、工频磁场的各项环境保护措施，确保</w:t>
      </w:r>
      <w:r>
        <w:rPr>
          <w:rFonts w:hint="default" w:ascii="Times New Roman" w:hAnsi="Times New Roman" w:eastAsia="仿宋_GB2312" w:cs="Times New Roman"/>
          <w:color w:val="auto"/>
          <w:sz w:val="32"/>
          <w:szCs w:val="32"/>
          <w:lang w:eastAsia="zh-CN"/>
        </w:rPr>
        <w:t>输电线路沿线的</w:t>
      </w:r>
      <w:r>
        <w:rPr>
          <w:rFonts w:hint="default" w:ascii="Times New Roman" w:hAnsi="Times New Roman" w:eastAsia="仿宋_GB2312" w:cs="Times New Roman"/>
          <w:color w:val="auto"/>
          <w:sz w:val="32"/>
          <w:szCs w:val="32"/>
        </w:rPr>
        <w:t>工频电场强度、工频磁感应强度符合《电磁环境控制限值》限值要求。</w:t>
      </w:r>
    </w:p>
    <w:p w14:paraId="27FBAD6B">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三、该</w:t>
      </w:r>
      <w:r>
        <w:rPr>
          <w:rFonts w:hint="eastAsia" w:eastAsia="仿宋_GB2312" w:cs="Times New Roman"/>
          <w:sz w:val="32"/>
          <w:szCs w:val="32"/>
          <w:lang w:val="en" w:eastAsia="zh-CN"/>
        </w:rPr>
        <w:t>工程</w:t>
      </w:r>
      <w:r>
        <w:rPr>
          <w:rFonts w:hint="default" w:ascii="Times New Roman" w:hAnsi="Times New Roman" w:eastAsia="仿宋_GB2312" w:cs="Times New Roman"/>
          <w:sz w:val="32"/>
          <w:szCs w:val="32"/>
        </w:rPr>
        <w:t>无新增污染物排放总量。</w:t>
      </w:r>
    </w:p>
    <w:p w14:paraId="64589867">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w:t>
      </w:r>
      <w:r>
        <w:rPr>
          <w:rFonts w:hint="eastAsia" w:eastAsia="仿宋_GB2312" w:cs="Times New Roman"/>
          <w:sz w:val="32"/>
          <w:szCs w:val="32"/>
          <w:lang w:val="en" w:eastAsia="zh-CN"/>
        </w:rPr>
        <w:t>工程</w:t>
      </w:r>
      <w:r>
        <w:rPr>
          <w:rFonts w:hint="default" w:ascii="Times New Roman" w:hAnsi="Times New Roman" w:eastAsia="仿宋_GB2312" w:cs="Times New Roman"/>
          <w:sz w:val="32"/>
          <w:szCs w:val="32"/>
        </w:rPr>
        <w:t>建设应严格执行环境保护设施与主体工程同时设计、同时施工、同时投产使用的</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三同时</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管理制度</w:t>
      </w:r>
      <w:r>
        <w:rPr>
          <w:rFonts w:hint="eastAsia" w:eastAsia="仿宋_GB2312" w:cs="Times New Roman"/>
          <w:sz w:val="32"/>
          <w:szCs w:val="32"/>
          <w:lang w:eastAsia="zh-CN"/>
        </w:rPr>
        <w:t>；</w:t>
      </w:r>
      <w:r>
        <w:rPr>
          <w:rFonts w:hint="eastAsia" w:eastAsia="仿宋_GB2312" w:cs="Times New Roman"/>
          <w:sz w:val="32"/>
          <w:szCs w:val="32"/>
          <w:lang w:val="en" w:eastAsia="zh-CN"/>
        </w:rPr>
        <w:t>工程</w:t>
      </w:r>
      <w:r>
        <w:rPr>
          <w:rFonts w:hint="default" w:ascii="Times New Roman" w:hAnsi="Times New Roman" w:eastAsia="仿宋_GB2312" w:cs="Times New Roman"/>
          <w:sz w:val="32"/>
          <w:szCs w:val="32"/>
        </w:rPr>
        <w:t>竣工后</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你公司应按规定的标准和程序开展环境保护验收，经验收合格后方可正式投入运营</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若</w:t>
      </w:r>
      <w:r>
        <w:rPr>
          <w:rFonts w:hint="eastAsia" w:eastAsia="仿宋_GB2312" w:cs="Times New Roman"/>
          <w:sz w:val="32"/>
          <w:szCs w:val="32"/>
          <w:lang w:val="en" w:eastAsia="zh-CN"/>
        </w:rPr>
        <w:t>工程</w:t>
      </w:r>
      <w:r>
        <w:rPr>
          <w:rFonts w:hint="default" w:ascii="Times New Roman" w:hAnsi="Times New Roman" w:eastAsia="仿宋_GB2312" w:cs="Times New Roman"/>
          <w:sz w:val="32"/>
          <w:szCs w:val="32"/>
        </w:rPr>
        <w:t>的性质、规模、地点、生产工艺或防治污染</w:t>
      </w:r>
      <w:r>
        <w:rPr>
          <w:rFonts w:hint="eastAsia" w:eastAsia="仿宋_GB2312" w:cs="Times New Roman"/>
          <w:sz w:val="32"/>
          <w:szCs w:val="32"/>
          <w:lang w:eastAsia="zh-CN"/>
        </w:rPr>
        <w:t>、生态环境保护</w:t>
      </w:r>
      <w:r>
        <w:rPr>
          <w:rFonts w:hint="default" w:ascii="Times New Roman" w:hAnsi="Times New Roman" w:eastAsia="仿宋_GB2312" w:cs="Times New Roman"/>
          <w:sz w:val="32"/>
          <w:szCs w:val="32"/>
        </w:rPr>
        <w:t>的措施发生重大变动，要重新报批环境影响评价文件。</w:t>
      </w:r>
    </w:p>
    <w:p w14:paraId="24615636">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eastAsia" w:eastAsia="仿宋_GB2312" w:cs="Times New Roman"/>
          <w:sz w:val="32"/>
          <w:szCs w:val="32"/>
          <w:lang w:val="en-US" w:eastAsia="zh-CN"/>
        </w:rPr>
        <w:t>五</w:t>
      </w:r>
      <w:r>
        <w:rPr>
          <w:rFonts w:hint="default" w:ascii="Times New Roman" w:hAnsi="Times New Roman" w:eastAsia="仿宋_GB2312" w:cs="Times New Roman"/>
          <w:sz w:val="32"/>
          <w:szCs w:val="32"/>
        </w:rPr>
        <w:t>、</w:t>
      </w:r>
      <w:r>
        <w:rPr>
          <w:rFonts w:hint="eastAsia" w:eastAsia="仿宋_GB2312" w:cs="Times New Roman"/>
          <w:sz w:val="32"/>
          <w:szCs w:val="32"/>
          <w:lang w:val="en" w:eastAsia="zh-CN"/>
        </w:rPr>
        <w:t>工程</w:t>
      </w:r>
      <w:r>
        <w:rPr>
          <w:rFonts w:hint="default" w:ascii="Times New Roman" w:hAnsi="Times New Roman" w:eastAsia="仿宋_GB2312" w:cs="Times New Roman"/>
          <w:sz w:val="32"/>
          <w:szCs w:val="32"/>
        </w:rPr>
        <w:t>应执行以下标准：</w:t>
      </w:r>
    </w:p>
    <w:p w14:paraId="58B6ACA3">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eastAsia" w:eastAsia="仿宋_GB2312" w:cs="Times New Roman"/>
          <w:sz w:val="32"/>
          <w:szCs w:val="32"/>
          <w:lang w:eastAsia="zh-CN"/>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《环境空气质量标准》（GB3095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2012）二级</w:t>
      </w:r>
      <w:r>
        <w:rPr>
          <w:rFonts w:hint="eastAsia" w:eastAsia="仿宋_GB2312" w:cs="Times New Roman"/>
          <w:sz w:val="32"/>
          <w:szCs w:val="32"/>
          <w:lang w:eastAsia="zh-CN"/>
        </w:rPr>
        <w:t>；</w:t>
      </w:r>
    </w:p>
    <w:p w14:paraId="11F15E3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baseline"/>
        <w:outlineLvl w:val="9"/>
        <w:rPr>
          <w:rFonts w:hint="eastAsia"/>
          <w:lang w:eastAsia="zh-CN"/>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《声环境质量标准》（GB3096-2008）</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类</w:t>
      </w:r>
      <w:r>
        <w:rPr>
          <w:rFonts w:hint="eastAsia" w:eastAsia="仿宋_GB2312" w:cs="Times New Roman"/>
          <w:sz w:val="32"/>
          <w:szCs w:val="32"/>
          <w:lang w:eastAsia="zh-CN"/>
        </w:rPr>
        <w:t>；</w:t>
      </w:r>
    </w:p>
    <w:p w14:paraId="419ED544">
      <w:pPr>
        <w:pStyle w:val="11"/>
        <w:spacing w:line="600" w:lineRule="exact"/>
        <w:ind w:firstLine="662" w:firstLineChars="207"/>
        <w:rPr>
          <w:rFonts w:hint="eastAsia" w:ascii="Times New Roman" w:hAnsi="Times New Roman" w:eastAsia="仿宋_GB2312" w:cs="Times New Roman"/>
          <w:sz w:val="32"/>
          <w:szCs w:val="32"/>
          <w:lang w:eastAsia="zh-CN"/>
        </w:rPr>
      </w:pP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《建筑施工场界环境噪声排放标准》（GB12523-2011）</w:t>
      </w:r>
      <w:r>
        <w:rPr>
          <w:rFonts w:hint="eastAsia" w:eastAsia="仿宋_GB2312" w:cs="Times New Roman"/>
          <w:sz w:val="32"/>
          <w:szCs w:val="32"/>
          <w:lang w:eastAsia="zh-CN"/>
        </w:rPr>
        <w:t>；</w:t>
      </w:r>
    </w:p>
    <w:p w14:paraId="45CC8CE6">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eastAsia" w:eastAsia="仿宋_GB2312" w:cs="Times New Roman"/>
          <w:sz w:val="32"/>
          <w:szCs w:val="32"/>
          <w:lang w:eastAsia="zh-CN"/>
        </w:rPr>
      </w:pP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《电磁环境控制限值》（GB8702-2014）</w:t>
      </w:r>
      <w:r>
        <w:rPr>
          <w:rFonts w:hint="eastAsia" w:eastAsia="仿宋_GB2312" w:cs="Times New Roman"/>
          <w:sz w:val="32"/>
          <w:szCs w:val="32"/>
          <w:lang w:eastAsia="zh-CN"/>
        </w:rPr>
        <w:t>。</w:t>
      </w:r>
    </w:p>
    <w:p w14:paraId="0269F514">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rPr>
      </w:pPr>
      <w:r>
        <w:rPr>
          <w:rFonts w:hint="default" w:ascii="Times New Roman" w:hAnsi="Times New Roman" w:eastAsia="仿宋_GB2312" w:cs="Times New Roman"/>
          <w:sz w:val="32"/>
          <w:szCs w:val="32"/>
        </w:rPr>
        <w:t>此复</w:t>
      </w:r>
      <w:r>
        <w:rPr>
          <w:rFonts w:hint="eastAsia" w:eastAsia="仿宋_GB2312" w:cs="Times New Roman"/>
          <w:sz w:val="32"/>
          <w:szCs w:val="32"/>
          <w:lang w:eastAsia="zh-CN"/>
        </w:rPr>
        <w:t>。</w:t>
      </w:r>
    </w:p>
    <w:p w14:paraId="06A2DBEF">
      <w:pPr>
        <w:rPr>
          <w:rFonts w:hint="default"/>
        </w:rPr>
      </w:pPr>
    </w:p>
    <w:p w14:paraId="6A18A1E4">
      <w:pPr>
        <w:rPr>
          <w:rFonts w:hint="default"/>
        </w:rPr>
      </w:pPr>
    </w:p>
    <w:p w14:paraId="3E6B6EAC">
      <w:pPr>
        <w:rPr>
          <w:rFonts w:hint="default"/>
        </w:rPr>
      </w:pPr>
    </w:p>
    <w:p w14:paraId="61A33DB5">
      <w:pPr>
        <w:rPr>
          <w:rFonts w:hint="default"/>
        </w:rPr>
      </w:pPr>
    </w:p>
    <w:p w14:paraId="7ABB38EE">
      <w:pPr>
        <w:wordWrap w:val="0"/>
        <w:ind w:firstLine="5120" w:firstLineChars="1600"/>
        <w:jc w:val="both"/>
        <w:rPr>
          <w:rFonts w:hint="eastAsia" w:eastAsia="仿宋_GB2312"/>
          <w:sz w:val="32"/>
          <w:lang w:val="en-US" w:eastAsia="zh-CN"/>
        </w:rPr>
      </w:pPr>
      <w:r>
        <w:rPr>
          <w:rFonts w:hint="eastAsia" w:eastAsia="仿宋_GB2312"/>
          <w:sz w:val="32"/>
        </w:rPr>
        <w:t xml:space="preserve"> </w:t>
      </w:r>
      <w:r>
        <w:rPr>
          <w:rFonts w:hint="eastAsia" w:eastAsia="仿宋_GB2312"/>
          <w:sz w:val="32"/>
          <w:lang w:val="en-US" w:eastAsia="zh-CN"/>
        </w:rPr>
        <w:t xml:space="preserve">2025年4月7日  </w:t>
      </w:r>
    </w:p>
    <w:p w14:paraId="58ECBC2A">
      <w:pPr>
        <w:wordWrap w:val="0"/>
        <w:ind w:firstLine="5120" w:firstLineChars="1600"/>
        <w:jc w:val="both"/>
        <w:rPr>
          <w:rFonts w:hint="eastAsia" w:eastAsia="仿宋_GB2312"/>
          <w:sz w:val="32"/>
          <w:lang w:val="en-US" w:eastAsia="zh-CN"/>
        </w:rPr>
      </w:pPr>
    </w:p>
    <w:p w14:paraId="013942AF">
      <w:pPr>
        <w:wordWrap w:val="0"/>
        <w:jc w:val="both"/>
        <w:rPr>
          <w:rFonts w:hint="eastAsia" w:eastAsia="仿宋_GB2312"/>
          <w:sz w:val="32"/>
          <w:lang w:val="en-US" w:eastAsia="zh-CN"/>
        </w:rPr>
      </w:pPr>
    </w:p>
    <w:p w14:paraId="3FDE3D8F">
      <w:pPr>
        <w:wordWrap w:val="0"/>
        <w:ind w:firstLine="5120" w:firstLineChars="1600"/>
        <w:jc w:val="both"/>
        <w:rPr>
          <w:rFonts w:hint="eastAsia"/>
          <w:sz w:val="15"/>
          <w:szCs w:val="15"/>
          <w:lang w:val="en-US" w:eastAsia="zh-CN"/>
        </w:rPr>
      </w:pPr>
      <w:r>
        <w:rPr>
          <w:rFonts w:hint="eastAsia" w:eastAsia="仿宋_GB2312"/>
          <w:sz w:val="32"/>
          <w:lang w:val="en-US" w:eastAsia="zh-CN"/>
        </w:rPr>
        <w:t xml:space="preserve"> </w:t>
      </w:r>
    </w:p>
    <w:p w14:paraId="20BAA070">
      <w:pPr>
        <w:spacing w:line="680" w:lineRule="exact"/>
        <w:rPr>
          <w:rFonts w:hint="eastAsia" w:eastAsia="仿宋_GB2312"/>
          <w:sz w:val="28"/>
          <w:szCs w:val="28"/>
        </w:rPr>
      </w:pPr>
      <w:r>
        <w:rPr>
          <w:rFonts w:eastAsia="仿宋_GB2312"/>
          <w:sz w:val="28"/>
          <w:szCs w:val="28"/>
        </w:rPr>
        <w:t>主题词：环境影响 报告</w:t>
      </w:r>
      <w:r>
        <w:rPr>
          <w:rFonts w:hint="eastAsia" w:eastAsia="仿宋_GB2312"/>
          <w:sz w:val="28"/>
          <w:szCs w:val="28"/>
          <w:lang w:eastAsia="zh-CN"/>
        </w:rPr>
        <w:t>表</w:t>
      </w:r>
      <w:r>
        <w:rPr>
          <w:rFonts w:eastAsia="仿宋_GB2312"/>
          <w:sz w:val="28"/>
          <w:szCs w:val="28"/>
        </w:rPr>
        <w:t xml:space="preserve"> 批复     </w:t>
      </w:r>
      <w:r>
        <w:rPr>
          <w:rFonts w:hint="eastAsia" w:eastAsia="仿宋_GB2312"/>
          <w:sz w:val="28"/>
          <w:szCs w:val="28"/>
          <w:lang w:val="en-US" w:eastAsia="zh-CN"/>
        </w:rPr>
        <w:t xml:space="preserve"> </w:t>
      </w:r>
      <w:r>
        <w:rPr>
          <w:rFonts w:eastAsia="仿宋_GB2312"/>
          <w:sz w:val="28"/>
          <w:szCs w:val="28"/>
        </w:rPr>
        <w:t xml:space="preserve">   </w:t>
      </w:r>
      <w:r>
        <w:rPr>
          <w:rFonts w:hint="eastAsia" w:eastAsia="仿宋_GB2312"/>
          <w:sz w:val="28"/>
          <w:szCs w:val="28"/>
        </w:rPr>
        <w:t xml:space="preserve">           </w:t>
      </w:r>
      <w:r>
        <w:rPr>
          <w:rFonts w:hint="eastAsia" w:eastAsia="仿宋_GB2312"/>
          <w:sz w:val="28"/>
          <w:szCs w:val="28"/>
          <w:lang w:val="en-US" w:eastAsia="zh-CN"/>
        </w:rPr>
        <w:t xml:space="preserve">  </w:t>
      </w:r>
      <w:r>
        <w:rPr>
          <w:rFonts w:hint="eastAsia" w:eastAsia="仿宋_GB2312"/>
          <w:sz w:val="28"/>
          <w:szCs w:val="28"/>
        </w:rPr>
        <w:t xml:space="preserve">  （</w:t>
      </w:r>
      <w:r>
        <w:rPr>
          <w:rFonts w:eastAsia="仿宋_GB2312"/>
          <w:sz w:val="28"/>
          <w:szCs w:val="28"/>
        </w:rPr>
        <w:t>共印</w:t>
      </w:r>
      <w:r>
        <w:rPr>
          <w:rFonts w:hint="eastAsia" w:eastAsia="仿宋_GB2312"/>
          <w:sz w:val="28"/>
          <w:szCs w:val="28"/>
          <w:lang w:val="en-US" w:eastAsia="zh-CN"/>
        </w:rPr>
        <w:t>3</w:t>
      </w:r>
      <w:r>
        <w:rPr>
          <w:rFonts w:eastAsia="仿宋_GB2312"/>
          <w:sz w:val="28"/>
          <w:szCs w:val="28"/>
        </w:rPr>
        <w:t>份）</w:t>
      </w:r>
    </w:p>
    <w:tbl>
      <w:tblPr>
        <w:tblStyle w:val="5"/>
        <w:tblW w:w="9054" w:type="dxa"/>
        <w:tblInd w:w="0" w:type="dxa"/>
        <w:tblBorders>
          <w:top w:val="none" w:color="auto" w:sz="0"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9054"/>
      </w:tblGrid>
      <w:tr w14:paraId="1A8F73D8">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567" w:hRule="atLeast"/>
        </w:trPr>
        <w:tc>
          <w:tcPr>
            <w:tcW w:w="9054" w:type="dxa"/>
            <w:tcBorders>
              <w:top w:val="single" w:color="auto" w:sz="8" w:space="0"/>
              <w:bottom w:val="single" w:color="auto" w:sz="8" w:space="0"/>
            </w:tcBorders>
            <w:vAlign w:val="top"/>
          </w:tcPr>
          <w:p w14:paraId="5AD8EDBB">
            <w:pPr>
              <w:spacing w:line="680" w:lineRule="exact"/>
              <w:ind w:right="160"/>
              <w:rPr>
                <w:sz w:val="32"/>
              </w:rPr>
            </w:pPr>
            <w:r>
              <w:rPr>
                <w:rFonts w:eastAsia="仿宋_GB2312"/>
                <w:sz w:val="28"/>
                <w:szCs w:val="28"/>
              </w:rPr>
              <w:t>抄</w:t>
            </w:r>
            <w:r>
              <w:rPr>
                <w:rFonts w:hint="eastAsia" w:eastAsia="仿宋_GB2312"/>
                <w:sz w:val="28"/>
                <w:szCs w:val="28"/>
                <w:lang w:val="en-US" w:eastAsia="zh-CN"/>
              </w:rPr>
              <w:t xml:space="preserve">  </w:t>
            </w:r>
            <w:r>
              <w:rPr>
                <w:rFonts w:eastAsia="仿宋_GB2312"/>
                <w:sz w:val="28"/>
                <w:szCs w:val="28"/>
              </w:rPr>
              <w:t>送：天津市滨海新区生态环境局</w:t>
            </w:r>
          </w:p>
        </w:tc>
      </w:tr>
    </w:tbl>
    <w:p w14:paraId="559CB6C4">
      <w:r>
        <w:rPr>
          <w:rFonts w:hint="eastAsia" w:eastAsia="仿宋_GB2312"/>
          <w:sz w:val="28"/>
          <w:szCs w:val="28"/>
        </w:rPr>
        <w:t xml:space="preserve">天津市滨海新区行政审批局             </w:t>
      </w:r>
      <w:r>
        <w:rPr>
          <w:rFonts w:hint="eastAsia" w:eastAsia="仿宋_GB2312"/>
          <w:sz w:val="28"/>
          <w:szCs w:val="28"/>
          <w:lang w:val="en-US" w:eastAsia="zh-CN"/>
        </w:rPr>
        <w:t xml:space="preserve">      2025</w:t>
      </w:r>
      <w:r>
        <w:rPr>
          <w:rFonts w:eastAsia="仿宋_GB2312"/>
          <w:sz w:val="28"/>
          <w:szCs w:val="28"/>
        </w:rPr>
        <w:t>年</w:t>
      </w:r>
      <w:r>
        <w:rPr>
          <w:rFonts w:hint="eastAsia" w:eastAsia="仿宋_GB2312"/>
          <w:sz w:val="28"/>
          <w:szCs w:val="28"/>
          <w:lang w:val="en-US" w:eastAsia="zh-CN"/>
        </w:rPr>
        <w:t>4</w:t>
      </w:r>
      <w:r>
        <w:rPr>
          <w:rFonts w:eastAsia="仿宋_GB2312"/>
          <w:sz w:val="28"/>
          <w:szCs w:val="28"/>
        </w:rPr>
        <w:t>月</w:t>
      </w:r>
      <w:r>
        <w:rPr>
          <w:rFonts w:hint="eastAsia" w:eastAsia="仿宋_GB2312"/>
          <w:sz w:val="28"/>
          <w:szCs w:val="28"/>
          <w:lang w:val="en-US" w:eastAsia="zh-CN"/>
        </w:rPr>
        <w:t>7</w:t>
      </w:r>
      <w:r>
        <w:rPr>
          <w:rFonts w:eastAsia="仿宋_GB2312"/>
          <w:sz w:val="28"/>
          <w:szCs w:val="28"/>
        </w:rPr>
        <w:t>日印发</w:t>
      </w:r>
    </w:p>
    <w:sectPr>
      <w:footerReference r:id="rId3" w:type="default"/>
      <w:footerReference r:id="rId4" w:type="even"/>
      <w:pgSz w:w="11906" w:h="16838"/>
      <w:pgMar w:top="1440" w:right="1474"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E0B90">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FF6AD5">
                          <w:pPr>
                            <w:pStyle w:val="3"/>
                            <w:rPr>
                              <w:rStyle w:val="7"/>
                              <w:rFonts w:ascii="宋体" w:hAns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- 1 -</w:t>
                          </w:r>
                          <w:r>
                            <w:rPr>
                              <w:rStyle w:val="7"/>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AFF6AD5">
                    <w:pPr>
                      <w:pStyle w:val="3"/>
                      <w:rPr>
                        <w:rStyle w:val="7"/>
                        <w:rFonts w:ascii="宋体" w:hAns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- 1 -</w:t>
                    </w:r>
                    <w:r>
                      <w:rPr>
                        <w:rStyle w:val="7"/>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BD92F">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14:paraId="760D4866">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F72CB5"/>
    <w:multiLevelType w:val="singleLevel"/>
    <w:tmpl w:val="90F72CB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4Y2IxYWRjN2EzMDcyYTNjZmRhN2U4ZWRiYWRmNGEifQ=="/>
  </w:docVars>
  <w:rsids>
    <w:rsidRoot w:val="00745E92"/>
    <w:rsid w:val="000052E2"/>
    <w:rsid w:val="000D0BAA"/>
    <w:rsid w:val="000F7AB4"/>
    <w:rsid w:val="001070EC"/>
    <w:rsid w:val="00145F43"/>
    <w:rsid w:val="00152774"/>
    <w:rsid w:val="00180D2F"/>
    <w:rsid w:val="001964EB"/>
    <w:rsid w:val="001A023C"/>
    <w:rsid w:val="00234BD5"/>
    <w:rsid w:val="00254B41"/>
    <w:rsid w:val="002E284B"/>
    <w:rsid w:val="002F77FC"/>
    <w:rsid w:val="00345096"/>
    <w:rsid w:val="00371377"/>
    <w:rsid w:val="00380F59"/>
    <w:rsid w:val="00396D44"/>
    <w:rsid w:val="003E7586"/>
    <w:rsid w:val="003F4130"/>
    <w:rsid w:val="004167F4"/>
    <w:rsid w:val="00421888"/>
    <w:rsid w:val="00454338"/>
    <w:rsid w:val="00487BC1"/>
    <w:rsid w:val="00531BD1"/>
    <w:rsid w:val="00566C93"/>
    <w:rsid w:val="00631BCE"/>
    <w:rsid w:val="006A0BFE"/>
    <w:rsid w:val="0071652F"/>
    <w:rsid w:val="00745E92"/>
    <w:rsid w:val="007939DD"/>
    <w:rsid w:val="008208B6"/>
    <w:rsid w:val="00863565"/>
    <w:rsid w:val="008B1BF1"/>
    <w:rsid w:val="008F05BC"/>
    <w:rsid w:val="00950011"/>
    <w:rsid w:val="009807C5"/>
    <w:rsid w:val="009824E1"/>
    <w:rsid w:val="0099150D"/>
    <w:rsid w:val="00996955"/>
    <w:rsid w:val="009A1665"/>
    <w:rsid w:val="009D54C7"/>
    <w:rsid w:val="009D7E7F"/>
    <w:rsid w:val="00A31EB3"/>
    <w:rsid w:val="00A6299F"/>
    <w:rsid w:val="00A85A8F"/>
    <w:rsid w:val="00AD7A1F"/>
    <w:rsid w:val="00B022F0"/>
    <w:rsid w:val="00B375DB"/>
    <w:rsid w:val="00B941D8"/>
    <w:rsid w:val="00BB4909"/>
    <w:rsid w:val="00BF6B0B"/>
    <w:rsid w:val="00C8126D"/>
    <w:rsid w:val="00C8289E"/>
    <w:rsid w:val="00CE5024"/>
    <w:rsid w:val="00D006C4"/>
    <w:rsid w:val="00D12F65"/>
    <w:rsid w:val="00D52B80"/>
    <w:rsid w:val="00DA5608"/>
    <w:rsid w:val="00DD7D5A"/>
    <w:rsid w:val="00DE0B7D"/>
    <w:rsid w:val="00E334F0"/>
    <w:rsid w:val="00E530D0"/>
    <w:rsid w:val="00E630C8"/>
    <w:rsid w:val="00E81FC7"/>
    <w:rsid w:val="00E913AD"/>
    <w:rsid w:val="00EA5C54"/>
    <w:rsid w:val="00EF0A9C"/>
    <w:rsid w:val="00EF29FD"/>
    <w:rsid w:val="00F10477"/>
    <w:rsid w:val="00F33160"/>
    <w:rsid w:val="00F436B2"/>
    <w:rsid w:val="00F54B05"/>
    <w:rsid w:val="00F56775"/>
    <w:rsid w:val="00F71A97"/>
    <w:rsid w:val="00F842B6"/>
    <w:rsid w:val="00FC26E4"/>
    <w:rsid w:val="02691984"/>
    <w:rsid w:val="03550BFE"/>
    <w:rsid w:val="040E2881"/>
    <w:rsid w:val="05B64EE1"/>
    <w:rsid w:val="077C3086"/>
    <w:rsid w:val="07CF6683"/>
    <w:rsid w:val="08FF1D4E"/>
    <w:rsid w:val="09C20CD4"/>
    <w:rsid w:val="0A5573E3"/>
    <w:rsid w:val="0A7C212E"/>
    <w:rsid w:val="0AC0235E"/>
    <w:rsid w:val="0B6D14B7"/>
    <w:rsid w:val="0CE942B7"/>
    <w:rsid w:val="0D4545B5"/>
    <w:rsid w:val="0D5F3A7D"/>
    <w:rsid w:val="0DA11C36"/>
    <w:rsid w:val="11E572EB"/>
    <w:rsid w:val="14357918"/>
    <w:rsid w:val="161C585F"/>
    <w:rsid w:val="162E250C"/>
    <w:rsid w:val="171917D0"/>
    <w:rsid w:val="171A2A55"/>
    <w:rsid w:val="179C380B"/>
    <w:rsid w:val="18326D5D"/>
    <w:rsid w:val="18B352B0"/>
    <w:rsid w:val="195535DF"/>
    <w:rsid w:val="19BD63E6"/>
    <w:rsid w:val="19CB339C"/>
    <w:rsid w:val="1B53571D"/>
    <w:rsid w:val="1C11151B"/>
    <w:rsid w:val="1DC750F9"/>
    <w:rsid w:val="1E9437AE"/>
    <w:rsid w:val="1F2A662A"/>
    <w:rsid w:val="20836690"/>
    <w:rsid w:val="20E406FC"/>
    <w:rsid w:val="20EB1A8B"/>
    <w:rsid w:val="2156336B"/>
    <w:rsid w:val="21C3288F"/>
    <w:rsid w:val="22610E50"/>
    <w:rsid w:val="22A21F73"/>
    <w:rsid w:val="22AF5EBF"/>
    <w:rsid w:val="233667EF"/>
    <w:rsid w:val="265E70F3"/>
    <w:rsid w:val="26FA244B"/>
    <w:rsid w:val="27E736B9"/>
    <w:rsid w:val="280265C2"/>
    <w:rsid w:val="286345FC"/>
    <w:rsid w:val="28B735F1"/>
    <w:rsid w:val="28CC03F4"/>
    <w:rsid w:val="2AE8703B"/>
    <w:rsid w:val="2B3B7D75"/>
    <w:rsid w:val="2C171AB1"/>
    <w:rsid w:val="2CD656D8"/>
    <w:rsid w:val="2D5A2BCE"/>
    <w:rsid w:val="2F44136D"/>
    <w:rsid w:val="2FEF2C1A"/>
    <w:rsid w:val="30241BDC"/>
    <w:rsid w:val="30262E18"/>
    <w:rsid w:val="316A2E22"/>
    <w:rsid w:val="32622092"/>
    <w:rsid w:val="32CE4FCF"/>
    <w:rsid w:val="33630C98"/>
    <w:rsid w:val="33633703"/>
    <w:rsid w:val="33CA638A"/>
    <w:rsid w:val="33FC1F5A"/>
    <w:rsid w:val="347722F2"/>
    <w:rsid w:val="347F2CE0"/>
    <w:rsid w:val="35533D0B"/>
    <w:rsid w:val="357D7D64"/>
    <w:rsid w:val="35DF103A"/>
    <w:rsid w:val="367E6AA5"/>
    <w:rsid w:val="36C51F7A"/>
    <w:rsid w:val="374B4BD9"/>
    <w:rsid w:val="375F19FD"/>
    <w:rsid w:val="37BF32B3"/>
    <w:rsid w:val="37EB048C"/>
    <w:rsid w:val="385C19AE"/>
    <w:rsid w:val="3982447C"/>
    <w:rsid w:val="399D5FE8"/>
    <w:rsid w:val="3B0D5BF6"/>
    <w:rsid w:val="3B660234"/>
    <w:rsid w:val="3D2E17ED"/>
    <w:rsid w:val="3DC2196D"/>
    <w:rsid w:val="3E015AA4"/>
    <w:rsid w:val="3E730BBA"/>
    <w:rsid w:val="3ED5EC67"/>
    <w:rsid w:val="3ED66B5C"/>
    <w:rsid w:val="3EFF249B"/>
    <w:rsid w:val="3F9A2934"/>
    <w:rsid w:val="3FC55010"/>
    <w:rsid w:val="3FD14EC6"/>
    <w:rsid w:val="40A9471F"/>
    <w:rsid w:val="41116DDD"/>
    <w:rsid w:val="42382433"/>
    <w:rsid w:val="429D6505"/>
    <w:rsid w:val="445A69E2"/>
    <w:rsid w:val="44811733"/>
    <w:rsid w:val="44A333BF"/>
    <w:rsid w:val="44FB2731"/>
    <w:rsid w:val="45915881"/>
    <w:rsid w:val="45D27CD9"/>
    <w:rsid w:val="46534CE5"/>
    <w:rsid w:val="46BF2397"/>
    <w:rsid w:val="47693F8F"/>
    <w:rsid w:val="48314946"/>
    <w:rsid w:val="4848025D"/>
    <w:rsid w:val="4AE43C50"/>
    <w:rsid w:val="4B106CD2"/>
    <w:rsid w:val="4B314936"/>
    <w:rsid w:val="4D005CA5"/>
    <w:rsid w:val="4D855597"/>
    <w:rsid w:val="4DFFF697"/>
    <w:rsid w:val="4E3F66C2"/>
    <w:rsid w:val="4EC837AE"/>
    <w:rsid w:val="501264FC"/>
    <w:rsid w:val="52683711"/>
    <w:rsid w:val="529363A4"/>
    <w:rsid w:val="53ED7747"/>
    <w:rsid w:val="55C20EA5"/>
    <w:rsid w:val="58532BEB"/>
    <w:rsid w:val="58704048"/>
    <w:rsid w:val="58AF68AD"/>
    <w:rsid w:val="59465D4C"/>
    <w:rsid w:val="59EC4DD6"/>
    <w:rsid w:val="59F83A4A"/>
    <w:rsid w:val="5ABC54F2"/>
    <w:rsid w:val="5AC3177F"/>
    <w:rsid w:val="5D0F3DCC"/>
    <w:rsid w:val="5E09355C"/>
    <w:rsid w:val="5E257683"/>
    <w:rsid w:val="5E604728"/>
    <w:rsid w:val="5F0E3CB8"/>
    <w:rsid w:val="60885CA7"/>
    <w:rsid w:val="60984A6B"/>
    <w:rsid w:val="60C42FC6"/>
    <w:rsid w:val="61C254B7"/>
    <w:rsid w:val="61F10051"/>
    <w:rsid w:val="61FA1823"/>
    <w:rsid w:val="628A6975"/>
    <w:rsid w:val="628E7BBF"/>
    <w:rsid w:val="62922D24"/>
    <w:rsid w:val="640F6E0B"/>
    <w:rsid w:val="646802C9"/>
    <w:rsid w:val="651D7306"/>
    <w:rsid w:val="65EF76D2"/>
    <w:rsid w:val="662611AC"/>
    <w:rsid w:val="675F70AE"/>
    <w:rsid w:val="69131D04"/>
    <w:rsid w:val="6A1D01E4"/>
    <w:rsid w:val="6B2313EE"/>
    <w:rsid w:val="6B720AE3"/>
    <w:rsid w:val="6DFE1D93"/>
    <w:rsid w:val="6E0A324A"/>
    <w:rsid w:val="6E1374F8"/>
    <w:rsid w:val="6E4D6C01"/>
    <w:rsid w:val="6F525944"/>
    <w:rsid w:val="6F765C07"/>
    <w:rsid w:val="6FB645DF"/>
    <w:rsid w:val="715926C4"/>
    <w:rsid w:val="718F062F"/>
    <w:rsid w:val="71DE7C18"/>
    <w:rsid w:val="71E03B95"/>
    <w:rsid w:val="727218EC"/>
    <w:rsid w:val="744A736E"/>
    <w:rsid w:val="7605103D"/>
    <w:rsid w:val="76AF4C49"/>
    <w:rsid w:val="773C481C"/>
    <w:rsid w:val="78C37D6C"/>
    <w:rsid w:val="791B1FC3"/>
    <w:rsid w:val="795919B6"/>
    <w:rsid w:val="79D7682F"/>
    <w:rsid w:val="79ED32F3"/>
    <w:rsid w:val="7CC077EE"/>
    <w:rsid w:val="7CDB6472"/>
    <w:rsid w:val="7CFE75C5"/>
    <w:rsid w:val="7D247CD4"/>
    <w:rsid w:val="7E6678D4"/>
    <w:rsid w:val="7E906943"/>
    <w:rsid w:val="7F7CF0BB"/>
    <w:rsid w:val="7F922865"/>
    <w:rsid w:val="BBE3FCA7"/>
    <w:rsid w:val="CB606E51"/>
    <w:rsid w:val="DB839824"/>
    <w:rsid w:val="E7FB8941"/>
    <w:rsid w:val="EBFF7B62"/>
    <w:rsid w:val="EDFF55FE"/>
    <w:rsid w:val="FF7719C7"/>
    <w:rsid w:val="FFEF774F"/>
    <w:rsid w:val="FFFD374C"/>
    <w:rsid w:val="FFFF6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outlineLvl w:val="0"/>
    </w:pPr>
    <w:rPr>
      <w:rFonts w:eastAsia="黑体"/>
      <w:kern w:val="44"/>
      <w:sz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Emphasis"/>
    <w:basedOn w:val="6"/>
    <w:qFormat/>
    <w:uiPriority w:val="0"/>
    <w:rPr>
      <w:i/>
    </w:rPr>
  </w:style>
  <w:style w:type="character" w:customStyle="1" w:styleId="9">
    <w:name w:val="页脚 Char"/>
    <w:basedOn w:val="6"/>
    <w:link w:val="3"/>
    <w:qFormat/>
    <w:uiPriority w:val="0"/>
    <w:rPr>
      <w:kern w:val="2"/>
      <w:sz w:val="18"/>
      <w:szCs w:val="18"/>
    </w:rPr>
  </w:style>
  <w:style w:type="character" w:customStyle="1" w:styleId="10">
    <w:name w:val="页眉 Char"/>
    <w:basedOn w:val="6"/>
    <w:link w:val="4"/>
    <w:qFormat/>
    <w:uiPriority w:val="0"/>
    <w:rPr>
      <w:kern w:val="2"/>
      <w:sz w:val="18"/>
      <w:szCs w:val="18"/>
    </w:rPr>
  </w:style>
  <w:style w:type="paragraph" w:customStyle="1" w:styleId="11">
    <w:name w:val="中文报告书样式"/>
    <w:basedOn w:val="1"/>
    <w:qFormat/>
    <w:uiPriority w:val="0"/>
    <w:pPr>
      <w:adjustRightInd w:val="0"/>
      <w:spacing w:line="420" w:lineRule="atLeast"/>
      <w:jc w:val="left"/>
      <w:textAlignment w:val="baseline"/>
    </w:pPr>
    <w:rPr>
      <w:kern w:val="24"/>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1242</Words>
  <Characters>1382</Characters>
  <Lines>1</Lines>
  <Paragraphs>1</Paragraphs>
  <TotalTime>11</TotalTime>
  <ScaleCrop>false</ScaleCrop>
  <LinksUpToDate>false</LinksUpToDate>
  <CharactersWithSpaces>1433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2014-05-24T01:22:00Z</dcterms:created>
  <dc:creator>张明蕾</dc:creator>
  <cp:lastModifiedBy>dell</cp:lastModifiedBy>
  <cp:lastPrinted>2025-03-19T09:18:00Z</cp:lastPrinted>
  <dcterms:modified xsi:type="dcterms:W3CDTF">2025-04-07T02:53:56Z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D003CA3BCF24467EA20C53754586E72E_13</vt:lpwstr>
  </property>
  <property fmtid="{D5CDD505-2E9C-101B-9397-08002B2CF9AE}" pid="4" name="KSOTemplateDocerSaveRecord">
    <vt:lpwstr>eyJoZGlkIjoiODViY2JkMjU3NGYzZTEwMzZmMGFkZWViYmNkYWU3NDIiLCJ1c2VySWQiOiI2MjA1MTgzNDgifQ==</vt:lpwstr>
  </property>
</Properties>
</file>