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ascii="仿宋_GB2312" w:hAnsi="楷体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津滨政务</w:t>
      </w:r>
      <w:r>
        <w:rPr>
          <w:rFonts w:hint="eastAsia" w:ascii="仿宋_GB2312" w:eastAsia="仿宋_GB2312"/>
          <w:sz w:val="32"/>
          <w:lang w:eastAsia="zh-CN"/>
        </w:rPr>
        <w:t>发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〕</w:t>
      </w:r>
      <w:r>
        <w:rPr>
          <w:rFonts w:hint="default" w:ascii="仿宋_GB2312" w:eastAsia="仿宋_GB2312"/>
          <w:sz w:val="32"/>
          <w:lang w:val="en"/>
        </w:rPr>
        <w:t>4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区政务服务办区交通运输局关于印发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滨海新区涉路施工审管联动“一件事”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改革实施方案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滨海新区涉路施工审管联动“一件事”改革实施方案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》印发给你们，请遵照执行。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1680" w:rightChars="8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区政务服务办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区交通运输局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1680" w:rightChars="8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滨海新区涉路施工审管联动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一件事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改革实施方案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根据《国务院关于进一步优化政务服务提升行政效能推动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“高效办成一件事”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的指导意见》精神，为进一步优化新区营商环境建设，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涉路施工跨部门审管联动提质增效，结合工作实际，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坚决落实“一个平台统服务”综合改革工作要求，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将公路、高速公路涉路施工许可事项升级为涉路施工审管联动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一件事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，依托滨海新区一体化政务服务平台，实现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涉路施工审管业务协同、数据共享，推动审批更简、监管更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、服务更优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造“一窗受理、一网通办、协同监管”的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涉路施工审管新模式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，破解传统审批模式造成的企业群众多头跑、多趟跑、来回跑难题，实现审管联动无缝衔接，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有效降低涉路施工对交通和公共安全的影响。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  <w:t>二、适用范围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本方案适用于滨海新区行政区域内除国省干线、高速公路以外的区管公路涉路施工项目的申请，包括：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在公路、高速公路两侧建筑控制区内埋设管线、电缆等设施的审批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在公路、高速公路上增设平面交叉道口或者桥涵的许可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在公路、高速公路用地范围内架设、埋设管道、电缆等设施许可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利用公路、高速公路桥梁、隧道、涵洞铺设电缆等设施许可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在公路、高速公路用地范围内设置非公路设施的许可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跨越、穿越公路、高速公路及在公路、高速公路用地内修建桥梁、渡槽或者架设、埋设管线等设施许可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工程建设需要临时占用或挖掘公路、高速公路许可。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  <w:t>三、主要任务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" w:eastAsia="zh-CN"/>
        </w:rPr>
        <w:t>（一）实施全流程闭环重构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简化企业办事流程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通过涉路施工审管联动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一件事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改革，取消传统审批模式下涉路施工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建设单位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需与公路权属单位签署施工协议书的环节，将上述事前监管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同步纳入审批流程，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全流程闭环管理，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真正做到企业办事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只进一扇门、最多跑一次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实现业务远程协同办理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将涉路施工许可事项上线一体化政务服务平台，同步为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审批部门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监管部门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匹配账号权限。企业通过线上或窗口申报相关业务后，平台同步推送申报信息至审批、监管账号，监管部门通过线上反馈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意见，审批部门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参考监管部门意见进行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同步审查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承诺在7个工作日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（不含听证、招标、拍卖、检验、检测、检疫、鉴定或专家评审）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内完成审批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实现监管部门业务远程协办，进一步降低企业时间成本、办事成本。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" w:eastAsia="zh-CN"/>
        </w:rPr>
        <w:t>（二）构建审管协同治理体系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依托一体化政务服务平台，打破审批、监管部门数据壁垒，实现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涉路施工审批数据、监管数据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实时共享与交换。建设单位可在线提交申请、查询审批进度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审批部门在线审批、推送审批结果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监管部门实时获取审批信息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开展监管工作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确保高效审批与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精准监管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无缝衔接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，有效避免监管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空白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" w:eastAsia="zh-CN"/>
        </w:rPr>
        <w:t>（三）推进智慧政务数字化转型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丰富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一个平台统服务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应用场景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涉路施工许可事项上线一体化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政务服务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平台，通过集成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在线申报、智能表单、电子签章等信息化手段，实现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从申请、审批到监管的全流程电子化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，建设单位可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自行选择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填写智能表单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上传申请材料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进一步提升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企业群众办事满意度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丰富电子证照应用场景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审批通过后平台自动生成准予行政许可决定书，加盖电子签章，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在线下载决定书，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精简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制证、盖章、取证流程，进一步提升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政务服务效能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  <w:t>四、工作保障</w:t>
      </w:r>
    </w:p>
    <w:p>
      <w:pPr>
        <w:spacing w:line="55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区政务服务办、区交通运输局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及时跟进、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全面推进审管联动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一件事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场景建设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，密切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技术服务单位沟通协作，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确保审管联动信息系统高效运行。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通过多媒体、多渠道、全过程加强对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“一件事”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改革宣传报道，引导企业通过一体化平台申报相关业务，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改革落地落实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定期对改革进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行“回头看”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，探索审管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动改革新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举措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，不断提高企业群众满意度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61" w:wrap="around" w:vAnchor="text" w:hAnchor="page" w:x="9631" w:y="49"/>
      <w:ind w:firstLine="140" w:firstLineChars="50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-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>-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-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1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F20"/>
    <w:rsid w:val="000047C6"/>
    <w:rsid w:val="0002351A"/>
    <w:rsid w:val="000C55D5"/>
    <w:rsid w:val="000E6898"/>
    <w:rsid w:val="00172A27"/>
    <w:rsid w:val="002139D2"/>
    <w:rsid w:val="0026437C"/>
    <w:rsid w:val="00270A09"/>
    <w:rsid w:val="00286EEE"/>
    <w:rsid w:val="002A50C9"/>
    <w:rsid w:val="002C4097"/>
    <w:rsid w:val="003B11BD"/>
    <w:rsid w:val="003B5AA8"/>
    <w:rsid w:val="003C7618"/>
    <w:rsid w:val="003E14D5"/>
    <w:rsid w:val="004175AB"/>
    <w:rsid w:val="00425787"/>
    <w:rsid w:val="00435A13"/>
    <w:rsid w:val="0046035C"/>
    <w:rsid w:val="00487E51"/>
    <w:rsid w:val="004B50D7"/>
    <w:rsid w:val="005668DC"/>
    <w:rsid w:val="00592030"/>
    <w:rsid w:val="00603927"/>
    <w:rsid w:val="00606629"/>
    <w:rsid w:val="006345C1"/>
    <w:rsid w:val="00660D82"/>
    <w:rsid w:val="006B35B7"/>
    <w:rsid w:val="00775E31"/>
    <w:rsid w:val="00786017"/>
    <w:rsid w:val="007C2624"/>
    <w:rsid w:val="007E15E5"/>
    <w:rsid w:val="007E3A2B"/>
    <w:rsid w:val="007E53CE"/>
    <w:rsid w:val="0082736D"/>
    <w:rsid w:val="00833E29"/>
    <w:rsid w:val="008536DA"/>
    <w:rsid w:val="0085732C"/>
    <w:rsid w:val="00886CC9"/>
    <w:rsid w:val="00896C51"/>
    <w:rsid w:val="008A0A27"/>
    <w:rsid w:val="00973629"/>
    <w:rsid w:val="0098400A"/>
    <w:rsid w:val="009D430D"/>
    <w:rsid w:val="009F0934"/>
    <w:rsid w:val="009F55A9"/>
    <w:rsid w:val="00A10989"/>
    <w:rsid w:val="00A327DA"/>
    <w:rsid w:val="00A37CFF"/>
    <w:rsid w:val="00A545BC"/>
    <w:rsid w:val="00A954E4"/>
    <w:rsid w:val="00B57537"/>
    <w:rsid w:val="00B61BF9"/>
    <w:rsid w:val="00B638F8"/>
    <w:rsid w:val="00BA64EB"/>
    <w:rsid w:val="00BC79FE"/>
    <w:rsid w:val="00C03E6F"/>
    <w:rsid w:val="00C61B22"/>
    <w:rsid w:val="00CF668D"/>
    <w:rsid w:val="00D003A1"/>
    <w:rsid w:val="00D43918"/>
    <w:rsid w:val="00D740FC"/>
    <w:rsid w:val="00DA0B94"/>
    <w:rsid w:val="00E23EB3"/>
    <w:rsid w:val="00E434B1"/>
    <w:rsid w:val="00E9308E"/>
    <w:rsid w:val="00EA03C1"/>
    <w:rsid w:val="00EA23BF"/>
    <w:rsid w:val="00F173C4"/>
    <w:rsid w:val="00F17709"/>
    <w:rsid w:val="00F84EC7"/>
    <w:rsid w:val="00FB4FE1"/>
    <w:rsid w:val="00FC7DAC"/>
    <w:rsid w:val="00FF3B6F"/>
    <w:rsid w:val="18FD1FCF"/>
    <w:rsid w:val="1FE9D863"/>
    <w:rsid w:val="39FC7EC0"/>
    <w:rsid w:val="3BB942B6"/>
    <w:rsid w:val="3F3A0865"/>
    <w:rsid w:val="5FE75D9A"/>
    <w:rsid w:val="73BFD60F"/>
    <w:rsid w:val="7BFFA051"/>
    <w:rsid w:val="7F7F08E2"/>
    <w:rsid w:val="88F2E39D"/>
    <w:rsid w:val="BBFADE06"/>
    <w:rsid w:val="D376B647"/>
    <w:rsid w:val="D5FE5A7C"/>
    <w:rsid w:val="DDB6458B"/>
    <w:rsid w:val="E67F3643"/>
    <w:rsid w:val="F63776C2"/>
    <w:rsid w:val="FA7E9EC4"/>
    <w:rsid w:val="FBF7321A"/>
    <w:rsid w:val="FCFF046E"/>
    <w:rsid w:val="FDBF5C88"/>
    <w:rsid w:val="FEDF5EB4"/>
    <w:rsid w:val="FFFF8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标题 Char"/>
    <w:link w:val="7"/>
    <w:qFormat/>
    <w:uiPriority w:val="0"/>
    <w:rPr>
      <w:rFonts w:ascii="Cambria" w:hAnsi="Cambria" w:eastAsia="宋体"/>
      <w:b/>
      <w:bCs/>
      <w:kern w:val="2"/>
      <w:sz w:val="32"/>
      <w:szCs w:val="32"/>
      <w:lang w:bidi="ar-SA"/>
    </w:rPr>
  </w:style>
  <w:style w:type="character" w:customStyle="1" w:styleId="17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1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2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</Words>
  <Characters>109</Characters>
  <Lines>1</Lines>
  <Paragraphs>1</Paragraphs>
  <TotalTime>108</TotalTime>
  <ScaleCrop>false</ScaleCrop>
  <LinksUpToDate>false</LinksUpToDate>
  <CharactersWithSpaces>127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2020-10-12T22:34:00Z</dcterms:created>
  <dc:creator>张殿武</dc:creator>
  <cp:lastModifiedBy>综合室(收文)</cp:lastModifiedBy>
  <cp:lastPrinted>2014-07-09T20:32:00Z</cp:lastPrinted>
  <dcterms:modified xsi:type="dcterms:W3CDTF">2025-04-15T12:59:26Z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