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DE853">
      <w:pPr>
        <w:rPr>
          <w:rFonts w:ascii="仿宋_GB2312" w:eastAsia="仿宋_GB2312"/>
          <w:sz w:val="32"/>
          <w:szCs w:val="32"/>
        </w:rPr>
      </w:pPr>
    </w:p>
    <w:p w14:paraId="629D0BE5">
      <w:pPr>
        <w:rPr>
          <w:rFonts w:ascii="仿宋_GB2312" w:eastAsia="仿宋_GB2312"/>
          <w:sz w:val="32"/>
          <w:szCs w:val="32"/>
        </w:rPr>
      </w:pPr>
    </w:p>
    <w:p w14:paraId="05B8244C">
      <w:pPr>
        <w:rPr>
          <w:rFonts w:ascii="仿宋_GB2312" w:eastAsia="仿宋_GB2312"/>
          <w:sz w:val="32"/>
          <w:szCs w:val="32"/>
        </w:rPr>
      </w:pPr>
    </w:p>
    <w:p w14:paraId="64DE9C0C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1EB63525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46EB1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652C73B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4FAE77BE">
      <w:pPr>
        <w:pStyle w:val="8"/>
        <w:spacing w:line="58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D845C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关于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天津南港中石油大港石化工业气体供应</w:t>
      </w:r>
    </w:p>
    <w:p w14:paraId="003044C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项目</w:t>
      </w:r>
      <w:r>
        <w:rPr>
          <w:rFonts w:hint="eastAsia" w:ascii="方正小标宋简体" w:hAnsi="宋体" w:eastAsia="方正小标宋简体"/>
          <w:color w:val="000000"/>
          <w:sz w:val="44"/>
        </w:rPr>
        <w:t>环境影响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报告表</w:t>
      </w:r>
      <w:r>
        <w:rPr>
          <w:rFonts w:ascii="方正小标宋简体" w:hAnsi="宋体" w:eastAsia="方正小标宋简体"/>
          <w:color w:val="000000"/>
          <w:sz w:val="44"/>
        </w:rPr>
        <w:t>的批复</w:t>
      </w:r>
    </w:p>
    <w:p w14:paraId="223F441F">
      <w:pPr>
        <w:spacing w:line="0" w:lineRule="atLeast"/>
        <w:jc w:val="center"/>
        <w:rPr>
          <w:rFonts w:ascii="宋体" w:hAnsi="宋体"/>
          <w:b/>
          <w:color w:val="000000"/>
          <w:sz w:val="21"/>
          <w:szCs w:val="21"/>
        </w:rPr>
      </w:pPr>
    </w:p>
    <w:p w14:paraId="0188837F">
      <w:pPr>
        <w:pageBreakBefore w:val="0"/>
        <w:widowControl w:val="0"/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液化空气（天津）工业气体有限公司：</w:t>
      </w:r>
    </w:p>
    <w:p w14:paraId="09782840">
      <w:pPr>
        <w:pageBreakBefore w:val="0"/>
        <w:widowControl w:val="0"/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呈报的《天津南港中石油大港石化工业气体供应项目环境影响报告表</w:t>
      </w:r>
      <w:r>
        <w:rPr>
          <w:rFonts w:hint="eastAsia" w:eastAsia="仿宋_GB2312"/>
          <w:sz w:val="32"/>
          <w:szCs w:val="32"/>
          <w:lang w:val="en-US" w:eastAsia="zh-CN"/>
        </w:rPr>
        <w:t>的请示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hint="default" w:eastAsia="仿宋_GB2312"/>
          <w:sz w:val="32"/>
          <w:szCs w:val="32"/>
          <w:lang w:val="en-US" w:eastAsia="zh-CN"/>
        </w:rPr>
        <w:t>联合泰泽环境科技发展有限公司</w:t>
      </w:r>
      <w:r>
        <w:rPr>
          <w:rFonts w:hint="eastAsia" w:eastAsia="仿宋_GB2312"/>
          <w:sz w:val="32"/>
          <w:szCs w:val="32"/>
          <w:lang w:val="en-US" w:eastAsia="zh-CN"/>
        </w:rPr>
        <w:t>编制的</w:t>
      </w:r>
      <w:r>
        <w:rPr>
          <w:rFonts w:hint="default" w:eastAsia="仿宋_GB2312"/>
          <w:sz w:val="32"/>
          <w:szCs w:val="32"/>
          <w:lang w:val="en-US" w:eastAsia="zh-CN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天津南港中石油大港石化工业气体供应项目环境影响报告表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材料</w:t>
      </w:r>
      <w:r>
        <w:rPr>
          <w:rFonts w:eastAsia="仿宋_GB2312"/>
          <w:sz w:val="32"/>
          <w:szCs w:val="32"/>
        </w:rPr>
        <w:t>收悉。</w:t>
      </w:r>
      <w:r>
        <w:rPr>
          <w:rFonts w:hint="eastAsia" w:eastAsia="仿宋_GB2312"/>
          <w:sz w:val="32"/>
          <w:szCs w:val="32"/>
          <w:lang w:val="en-US" w:eastAsia="zh-CN"/>
        </w:rPr>
        <w:t>我局</w:t>
      </w:r>
      <w:r>
        <w:rPr>
          <w:rFonts w:eastAsia="仿宋_GB2312"/>
          <w:sz w:val="32"/>
          <w:szCs w:val="32"/>
        </w:rPr>
        <w:t>经研究，批复如下：</w:t>
      </w:r>
    </w:p>
    <w:p w14:paraId="5FA0655E">
      <w:pPr>
        <w:pageBreakBefore w:val="0"/>
        <w:widowControl w:val="0"/>
        <w:numPr>
          <w:ilvl w:val="0"/>
          <w:numId w:val="0"/>
        </w:numPr>
        <w:tabs>
          <w:tab w:val="left" w:pos="475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FF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bCs/>
          <w:color w:val="auto"/>
          <w:sz w:val="32"/>
          <w:szCs w:val="32"/>
        </w:rPr>
        <w:t>为满足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中国石油大港石化公司对于氮气的</w:t>
      </w:r>
      <w:r>
        <w:rPr>
          <w:rFonts w:hint="eastAsia" w:eastAsia="仿宋_GB2312"/>
          <w:bCs/>
          <w:color w:val="auto"/>
          <w:sz w:val="32"/>
          <w:szCs w:val="32"/>
        </w:rPr>
        <w:t>需求，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你</w:t>
      </w:r>
      <w:r>
        <w:rPr>
          <w:rFonts w:hint="eastAsia" w:eastAsia="仿宋_GB2312"/>
          <w:bCs/>
          <w:color w:val="auto"/>
          <w:sz w:val="32"/>
          <w:szCs w:val="32"/>
        </w:rPr>
        <w:t>公司</w:t>
      </w:r>
      <w:r>
        <w:rPr>
          <w:rFonts w:hint="eastAsia" w:eastAsia="仿宋_GB2312"/>
          <w:bCs/>
          <w:sz w:val="32"/>
          <w:szCs w:val="32"/>
        </w:rPr>
        <w:t>拟依托</w:t>
      </w:r>
      <w:r>
        <w:rPr>
          <w:rFonts w:hint="eastAsia" w:eastAsia="仿宋_GB2312"/>
          <w:bCs/>
          <w:sz w:val="32"/>
          <w:szCs w:val="32"/>
          <w:lang w:val="en-US" w:eastAsia="zh-CN"/>
        </w:rPr>
        <w:t>该公司厂内现有管廊和</w:t>
      </w:r>
      <w:r>
        <w:rPr>
          <w:rFonts w:hint="eastAsia" w:eastAsia="仿宋_GB2312"/>
          <w:bCs/>
          <w:sz w:val="32"/>
          <w:szCs w:val="32"/>
        </w:rPr>
        <w:t>天津泰港运营管理有限公司现有公用管廊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敷设压缩氮气管道，将仓盛街与创业路交口管廊氮气主管道内的气体输送至厂内计量站，管道长度约3.8公里（其中厂内管道长度1公里，厂外管道长度2.8公里），管径为DN150，设计压力为6.4MPa（减压前）、1.5MPa（减压后），设</w:t>
      </w:r>
      <w:r>
        <w:rPr>
          <w:rFonts w:hint="eastAsia" w:eastAsia="仿宋_GB2312"/>
          <w:bCs/>
          <w:sz w:val="32"/>
          <w:szCs w:val="32"/>
        </w:rPr>
        <w:t>计年输送量</w:t>
      </w:r>
      <w:r>
        <w:rPr>
          <w:rFonts w:hint="eastAsia" w:eastAsia="仿宋_GB2312"/>
          <w:bCs/>
          <w:sz w:val="32"/>
          <w:szCs w:val="32"/>
          <w:lang w:val="en-US" w:eastAsia="zh-CN"/>
        </w:rPr>
        <w:t>5256</w:t>
      </w:r>
      <w:r>
        <w:rPr>
          <w:rFonts w:hint="eastAsia" w:eastAsia="仿宋_GB2312"/>
          <w:bCs/>
          <w:sz w:val="32"/>
          <w:szCs w:val="32"/>
        </w:rPr>
        <w:t>万方。项目总投资</w:t>
      </w:r>
      <w:r>
        <w:rPr>
          <w:rFonts w:hint="eastAsia" w:eastAsia="仿宋_GB2312"/>
          <w:bCs/>
          <w:sz w:val="32"/>
          <w:szCs w:val="32"/>
          <w:lang w:val="en-US" w:eastAsia="zh-CN"/>
        </w:rPr>
        <w:t>918</w:t>
      </w:r>
      <w:r>
        <w:rPr>
          <w:rFonts w:hint="eastAsia" w:eastAsia="仿宋_GB2312"/>
          <w:bCs/>
          <w:sz w:val="32"/>
          <w:szCs w:val="32"/>
        </w:rPr>
        <w:t>万元，环保投资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万元，约占投资总额的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2.94</w:t>
      </w:r>
      <w:r>
        <w:rPr>
          <w:rFonts w:hint="eastAsia" w:eastAsia="仿宋_GB2312"/>
          <w:bCs/>
          <w:sz w:val="32"/>
          <w:szCs w:val="32"/>
        </w:rPr>
        <w:t>%。</w:t>
      </w:r>
    </w:p>
    <w:p w14:paraId="726B8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我局将该项目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环评报告的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受理情况进行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日，将该项目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环评报告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拟批复情况进行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公示；根据公众反馈意见情况及环评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报告结论，在严格落实环评报告所提出的各项污染防治措施、确保各类污染物稳定达标的前提下，</w:t>
      </w:r>
      <w:r>
        <w:rPr>
          <w:rFonts w:eastAsia="仿宋_GB2312"/>
          <w:sz w:val="32"/>
          <w:szCs w:val="32"/>
        </w:rPr>
        <w:t>该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748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 w14:paraId="4679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施工期间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做到合法施工，文明生产，减少扬尘污染；管道试压废水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经收集后送至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中国石油大港石化公司污水处理系统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合理安排施工时间，加强对高噪声机械的管理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施工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产生的废漆桶和废漆料交有资质的单位处理，清管废物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施工废料和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废焊材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等一般废物经收集后由环卫部门清运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；探伤作业须委托具有相关生产许可资质的单位进行，探伤设施须满足国家规范的相关防护措施。</w:t>
      </w:r>
    </w:p>
    <w:p w14:paraId="410B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强化各项环境风险防范措施，完善突发环境风险应急预案，向生态环境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行政主管部门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所在地区和相邻管道产权单位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的事故应急预案相衔接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，并要与相邻管道和管廊的产权单位建立长效联动机制，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定期开展突发环境事件应急演练，提高应对突发环境风险事故的处理能力，有效防范环境风险。</w:t>
      </w:r>
    </w:p>
    <w:p w14:paraId="65C1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新增污染物排放总量。</w:t>
      </w:r>
    </w:p>
    <w:p w14:paraId="1C6ED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项目建设应严格执行环境保护设施与主体工程同时设计、同时施工、同时投产使用的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三同时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竣工后按规定的标准和程序开展环境保护验收，经验收合格后方可正式投入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使用；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重新报批环境影响评价文件。</w:t>
      </w:r>
    </w:p>
    <w:p w14:paraId="750F0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eastAsia="仿宋_GB2312"/>
          <w:color w:val="auto"/>
          <w:sz w:val="32"/>
          <w:szCs w:val="32"/>
        </w:rPr>
        <w:t>、项目应执行以下标准：</w:t>
      </w:r>
    </w:p>
    <w:p w14:paraId="1E022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eastAsia="仿宋_GB2312"/>
          <w:color w:val="auto"/>
          <w:sz w:val="32"/>
          <w:szCs w:val="32"/>
        </w:rPr>
        <w:t>《环境空气质量标准》（GB3095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eastAsia="仿宋_GB2312"/>
          <w:color w:val="auto"/>
          <w:sz w:val="32"/>
          <w:szCs w:val="32"/>
        </w:rPr>
        <w:t>2012）二级；</w:t>
      </w:r>
    </w:p>
    <w:p w14:paraId="16133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auto"/>
          <w:sz w:val="32"/>
          <w:szCs w:val="32"/>
        </w:rPr>
        <w:t>《声环境质量标准》（GB3096-2008）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3类、4类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 w14:paraId="2028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baseline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《危险废物贮存污染控制标准》（GB18597-2001）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</w:p>
    <w:p w14:paraId="1BACF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《危险废物收集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贮存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运输技术规范》（HJ2025-2012）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21057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《建筑施工场界环境噪声排放标准》（GB12523-2011）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4B26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此复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3BD69E01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rPr>
          <w:rFonts w:hint="eastAsia" w:eastAsia="仿宋_GB2312"/>
          <w:sz w:val="32"/>
          <w:szCs w:val="32"/>
        </w:rPr>
      </w:pPr>
    </w:p>
    <w:p w14:paraId="4A7FCE84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rPr>
          <w:rFonts w:hint="eastAsia" w:eastAsia="仿宋_GB2312"/>
          <w:sz w:val="32"/>
          <w:szCs w:val="32"/>
        </w:rPr>
      </w:pPr>
    </w:p>
    <w:p w14:paraId="7AA1AD40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</w:pPr>
    </w:p>
    <w:p w14:paraId="6E1DE9EE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2800" w:firstLineChars="1000"/>
        <w:jc w:val="right"/>
        <w:rPr>
          <w:rFonts w:hint="eastAsia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   </w:t>
      </w:r>
    </w:p>
    <w:p w14:paraId="2D51630F">
      <w:pPr>
        <w:pStyle w:val="3"/>
        <w:wordWrap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 w14:paraId="02F7711C">
      <w:pPr>
        <w:rPr>
          <w:rFonts w:hint="eastAsia" w:eastAsia="仿宋_GB2312" w:cs="Times New Roman"/>
          <w:sz w:val="32"/>
          <w:highlight w:val="none"/>
          <w:lang w:val="en-US" w:eastAsia="zh-CN"/>
        </w:rPr>
      </w:pPr>
    </w:p>
    <w:p w14:paraId="799839F8"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 w14:paraId="0EB7D4EE"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 w14:paraId="4101B72E">
      <w:pPr>
        <w:pStyle w:val="2"/>
        <w:rPr>
          <w:rFonts w:hint="eastAsia" w:eastAsia="仿宋_GB2312" w:cs="Times New Roman"/>
          <w:sz w:val="32"/>
          <w:highlight w:val="none"/>
          <w:lang w:val="en-US" w:eastAsia="zh-CN"/>
        </w:rPr>
      </w:pPr>
    </w:p>
    <w:p w14:paraId="0867F952">
      <w:pPr>
        <w:rPr>
          <w:rFonts w:hint="eastAsia"/>
          <w:lang w:val="en-US" w:eastAsia="zh-CN"/>
        </w:rPr>
      </w:pPr>
    </w:p>
    <w:p w14:paraId="17E62A25">
      <w:pPr>
        <w:spacing w:line="6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主题词：环境影响 </w:t>
      </w:r>
      <w:r>
        <w:rPr>
          <w:rFonts w:hint="eastAsia" w:eastAsia="仿宋_GB2312" w:cs="Times New Roman"/>
          <w:sz w:val="28"/>
          <w:szCs w:val="28"/>
          <w:highlight w:val="none"/>
          <w:lang w:eastAsia="zh-CN"/>
        </w:rPr>
        <w:t>报告表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批复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（共印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份）</w:t>
      </w:r>
    </w:p>
    <w:tbl>
      <w:tblPr>
        <w:tblStyle w:val="5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1494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 w14:paraId="10925364">
            <w:pPr>
              <w:spacing w:line="680" w:lineRule="exact"/>
              <w:ind w:right="160" w:firstLine="280" w:firstLineChars="100"/>
              <w:rPr>
                <w:rFonts w:hint="default" w:ascii="Times New Roman" w:hAnsi="Times New Roman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送：天津市滨海新区生态环境局</w:t>
            </w:r>
          </w:p>
        </w:tc>
      </w:tr>
    </w:tbl>
    <w:p w14:paraId="6A68B04B">
      <w:pPr>
        <w:ind w:firstLine="280" w:firstLineChars="100"/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天津市滨海新区行政审批局             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6583F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A69C9"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A69C9"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10164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32EE2E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015F"/>
    <w:rsid w:val="09D772BB"/>
    <w:rsid w:val="232B4655"/>
    <w:rsid w:val="45BC47A7"/>
    <w:rsid w:val="47193F81"/>
    <w:rsid w:val="4D9F015F"/>
    <w:rsid w:val="6AFAB874"/>
    <w:rsid w:val="77B4B263"/>
    <w:rsid w:val="A2BEDC07"/>
    <w:rsid w:val="BFCCFE3A"/>
    <w:rsid w:val="D7BF30FC"/>
    <w:rsid w:val="FFFFD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1318</Characters>
  <Lines>0</Lines>
  <Paragraphs>0</Paragraphs>
  <TotalTime>10</TotalTime>
  <ScaleCrop>false</ScaleCrop>
  <LinksUpToDate>false</LinksUpToDate>
  <CharactersWithSpaces>1348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2025-01-22T08:52:00Z</dcterms:created>
  <dc:creator>暴风雨</dc:creator>
  <cp:lastModifiedBy>dell</cp:lastModifiedBy>
  <dcterms:modified xsi:type="dcterms:W3CDTF">2025-02-14T01:02:43Z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E40ECCBCB3744DFFBC2F3788EA825BE3_11</vt:lpwstr>
  </property>
  <property fmtid="{D5CDD505-2E9C-101B-9397-08002B2CF9AE}" pid="4" name="KSOTemplateDocerSaveRecord">
    <vt:lpwstr>eyJoZGlkIjoiMWNhZDJlMzAwZTE0OTRjMTQ5OTJjY2ZiMzRkMmYxNjUiLCJ1c2VySWQiOiI1MTk5NDE2ODYifQ==</vt:lpwstr>
  </property>
</Properties>
</file>