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9127A">
      <w:pPr>
        <w:rPr>
          <w:rFonts w:ascii="仿宋_GB2312" w:eastAsia="仿宋_GB2312"/>
          <w:sz w:val="32"/>
          <w:szCs w:val="32"/>
        </w:rPr>
      </w:pPr>
    </w:p>
    <w:p w14:paraId="203195E4">
      <w:pPr>
        <w:rPr>
          <w:rFonts w:hint="eastAsia" w:ascii="仿宋_GB2312" w:eastAsia="仿宋_GB2312"/>
          <w:sz w:val="32"/>
          <w:szCs w:val="32"/>
          <w:highlight w:val="yellow"/>
          <w:lang w:val="en-US" w:eastAsia="zh-CN"/>
        </w:rPr>
      </w:pPr>
    </w:p>
    <w:p w14:paraId="6B452448">
      <w:pPr>
        <w:rPr>
          <w:rFonts w:ascii="仿宋_GB2312" w:eastAsia="仿宋_GB2312"/>
          <w:sz w:val="32"/>
          <w:szCs w:val="32"/>
        </w:rPr>
      </w:pPr>
    </w:p>
    <w:p w14:paraId="296B6360">
      <w:pPr>
        <w:spacing w:line="360" w:lineRule="auto"/>
        <w:jc w:val="center"/>
        <w:rPr>
          <w:rFonts w:ascii="仿宋_GB2312" w:eastAsia="仿宋_GB2312"/>
          <w:sz w:val="32"/>
          <w:szCs w:val="32"/>
        </w:rPr>
      </w:pPr>
    </w:p>
    <w:p w14:paraId="3355298C">
      <w:pPr>
        <w:jc w:val="center"/>
        <w:rPr>
          <w:rFonts w:hint="default" w:ascii="Times New Roman" w:hAnsi="Times New Roman" w:eastAsia="仿宋_GB2312" w:cs="Times New Roman"/>
          <w:sz w:val="32"/>
          <w:szCs w:val="32"/>
        </w:rPr>
      </w:pPr>
    </w:p>
    <w:p w14:paraId="38C8FCA2">
      <w:pPr>
        <w:jc w:val="center"/>
        <w:rPr>
          <w:rFonts w:ascii="仿宋_GB2312" w:eastAsia="仿宋_GB2312"/>
          <w:sz w:val="32"/>
          <w:szCs w:val="32"/>
        </w:rPr>
      </w:pPr>
      <w:bookmarkStart w:id="0" w:name="_GoBack"/>
      <w:r>
        <w:rPr>
          <w:rFonts w:hint="default" w:ascii="Times New Roman" w:hAnsi="Times New Roman" w:eastAsia="仿宋_GB2312" w:cs="Times New Roman"/>
          <w:sz w:val="32"/>
          <w:szCs w:val="32"/>
        </w:rPr>
        <w:t>津滨审批二室准〔20</w:t>
      </w:r>
      <w:r>
        <w:rPr>
          <w:rFonts w:hint="eastAsia" w:eastAsia="仿宋_GB2312" w:cs="Times New Roman"/>
          <w:sz w:val="32"/>
          <w:szCs w:val="32"/>
          <w:lang w:val="en-US" w:eastAsia="zh-CN"/>
        </w:rPr>
        <w:t>25</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282</w:t>
      </w:r>
      <w:r>
        <w:rPr>
          <w:rFonts w:hint="default" w:ascii="Times New Roman" w:hAnsi="Times New Roman" w:eastAsia="仿宋_GB2312" w:cs="Times New Roman"/>
          <w:sz w:val="32"/>
          <w:szCs w:val="32"/>
        </w:rPr>
        <w:t>号</w:t>
      </w:r>
    </w:p>
    <w:bookmarkEnd w:id="0"/>
    <w:p w14:paraId="2A77D5A3">
      <w:pPr>
        <w:rPr>
          <w:rFonts w:ascii="仿宋_GB2312" w:eastAsia="仿宋_GB2312"/>
          <w:sz w:val="32"/>
          <w:szCs w:val="32"/>
        </w:rPr>
      </w:pPr>
    </w:p>
    <w:p w14:paraId="6539055D">
      <w:pPr>
        <w:pStyle w:val="11"/>
        <w:spacing w:line="580" w:lineRule="exact"/>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（项目代码：2</w:t>
      </w:r>
      <w:r>
        <w:rPr>
          <w:rFonts w:hint="eastAsia" w:eastAsia="仿宋_GB2312" w:cs="Times New Roman"/>
          <w:kern w:val="2"/>
          <w:sz w:val="32"/>
          <w:szCs w:val="32"/>
          <w:lang w:val="en-US" w:eastAsia="zh-CN" w:bidi="ar-SA"/>
        </w:rPr>
        <w:t>020</w:t>
      </w:r>
      <w:r>
        <w:rPr>
          <w:rFonts w:hint="eastAsia"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000052</w:t>
      </w:r>
      <w:r>
        <w:rPr>
          <w:rFonts w:hint="eastAsia" w:ascii="Times New Roman" w:hAnsi="Times New Roman" w:eastAsia="仿宋_GB2312" w:cs="Times New Roman"/>
          <w:kern w:val="2"/>
          <w:sz w:val="32"/>
          <w:szCs w:val="32"/>
          <w:lang w:val="en-US" w:eastAsia="zh-CN" w:bidi="ar-SA"/>
        </w:rPr>
        <w:t>-</w:t>
      </w:r>
      <w:r>
        <w:rPr>
          <w:rFonts w:hint="eastAsia" w:eastAsia="仿宋_GB2312" w:cs="Times New Roman"/>
          <w:kern w:val="2"/>
          <w:sz w:val="32"/>
          <w:szCs w:val="32"/>
          <w:lang w:val="en-US" w:eastAsia="zh-CN" w:bidi="ar-SA"/>
        </w:rPr>
        <w:t>53</w:t>
      </w:r>
      <w:r>
        <w:rPr>
          <w:rFonts w:hint="eastAsia" w:ascii="Times New Roman" w:hAnsi="Times New Roman" w:eastAsia="仿宋_GB2312" w:cs="Times New Roman"/>
          <w:kern w:val="2"/>
          <w:sz w:val="32"/>
          <w:szCs w:val="32"/>
          <w:lang w:val="en-US" w:eastAsia="zh-CN" w:bidi="ar-SA"/>
        </w:rPr>
        <w:t>-01-</w:t>
      </w:r>
      <w:r>
        <w:rPr>
          <w:rFonts w:hint="eastAsia" w:eastAsia="仿宋_GB2312" w:cs="Times New Roman"/>
          <w:kern w:val="2"/>
          <w:sz w:val="32"/>
          <w:szCs w:val="32"/>
          <w:lang w:val="en-US" w:eastAsia="zh-CN" w:bidi="ar-SA"/>
        </w:rPr>
        <w:t>008985</w:t>
      </w:r>
      <w:r>
        <w:rPr>
          <w:rFonts w:hint="eastAsia" w:ascii="Times New Roman" w:hAnsi="Times New Roman" w:eastAsia="仿宋_GB2312" w:cs="Times New Roman"/>
          <w:kern w:val="2"/>
          <w:sz w:val="32"/>
          <w:szCs w:val="32"/>
          <w:lang w:val="en-US" w:eastAsia="zh-CN" w:bidi="ar-SA"/>
        </w:rPr>
        <w:t>）</w:t>
      </w:r>
    </w:p>
    <w:p w14:paraId="48629ADC">
      <w:pPr>
        <w:pStyle w:val="11"/>
        <w:spacing w:line="580" w:lineRule="exact"/>
        <w:jc w:val="center"/>
        <w:rPr>
          <w:rFonts w:hint="eastAsia" w:ascii="Times New Roman" w:hAnsi="Times New Roman" w:eastAsia="仿宋_GB2312" w:cs="Times New Roman"/>
          <w:kern w:val="2"/>
          <w:sz w:val="32"/>
          <w:szCs w:val="32"/>
          <w:lang w:val="en-US" w:eastAsia="zh-CN" w:bidi="ar-SA"/>
        </w:rPr>
      </w:pPr>
    </w:p>
    <w:p w14:paraId="661F2956">
      <w:pPr>
        <w:pStyle w:val="11"/>
        <w:keepNext w:val="0"/>
        <w:keepLines w:val="0"/>
        <w:pageBreakBefore w:val="0"/>
        <w:widowControl w:val="0"/>
        <w:kinsoku/>
        <w:wordWrap/>
        <w:overflowPunct/>
        <w:topLinePunct w:val="0"/>
        <w:autoSpaceDE/>
        <w:autoSpaceDN/>
        <w:bidi w:val="0"/>
        <w:adjustRightInd w:val="0"/>
        <w:snapToGrid/>
        <w:spacing w:line="660" w:lineRule="exact"/>
        <w:jc w:val="center"/>
        <w:textAlignment w:val="baseline"/>
        <w:rPr>
          <w:rFonts w:ascii="方正小标宋简体" w:hAnsi="宋体" w:eastAsia="方正小标宋简体"/>
          <w:color w:val="000000"/>
          <w:sz w:val="44"/>
        </w:rPr>
      </w:pPr>
      <w:r>
        <w:rPr>
          <w:rFonts w:hint="eastAsia" w:ascii="方正小标宋简体" w:hAnsi="宋体" w:eastAsia="方正小标宋简体"/>
          <w:color w:val="000000"/>
          <w:sz w:val="44"/>
        </w:rPr>
        <w:t>关于</w:t>
      </w:r>
      <w:r>
        <w:rPr>
          <w:rFonts w:hint="eastAsia" w:ascii="方正小标宋简体" w:hAnsi="宋体" w:eastAsia="方正小标宋简体"/>
          <w:color w:val="000000"/>
          <w:sz w:val="44"/>
          <w:lang w:val="en-US" w:eastAsia="zh-CN"/>
        </w:rPr>
        <w:t>绿电公司110kV部分西徐二线114线48-50号切改项目</w:t>
      </w:r>
      <w:r>
        <w:rPr>
          <w:rFonts w:hint="eastAsia" w:ascii="方正小标宋简体" w:hAnsi="宋体" w:eastAsia="方正小标宋简体"/>
          <w:color w:val="000000"/>
          <w:sz w:val="44"/>
        </w:rPr>
        <w:t>环境影响报告表的批复</w:t>
      </w:r>
    </w:p>
    <w:p w14:paraId="1FE87461">
      <w:pPr>
        <w:spacing w:line="0" w:lineRule="atLeast"/>
        <w:jc w:val="center"/>
        <w:rPr>
          <w:rFonts w:ascii="宋体" w:hAnsi="宋体"/>
          <w:b/>
          <w:color w:val="000000"/>
          <w:sz w:val="44"/>
        </w:rPr>
      </w:pPr>
    </w:p>
    <w:p w14:paraId="09C648F4">
      <w:pPr>
        <w:pStyle w:val="12"/>
        <w:ind w:left="0" w:leftChars="0" w:firstLine="0" w:firstLineChars="0"/>
        <w:jc w:val="left"/>
        <w:rPr>
          <w:rFonts w:hint="default" w:eastAsia="仿宋_GB2312"/>
          <w:bCs/>
          <w:sz w:val="32"/>
          <w:szCs w:val="32"/>
          <w:lang w:eastAsia="zh-CN"/>
        </w:rPr>
      </w:pPr>
      <w:r>
        <w:rPr>
          <w:rFonts w:hint="eastAsia" w:eastAsia="仿宋_GB2312"/>
          <w:bCs/>
          <w:sz w:val="32"/>
          <w:szCs w:val="32"/>
          <w:lang w:val="en-US" w:eastAsia="zh-CN"/>
        </w:rPr>
        <w:t>津潍宿高速铁路有限</w:t>
      </w:r>
      <w:r>
        <w:rPr>
          <w:rFonts w:hint="default" w:eastAsia="仿宋_GB2312"/>
          <w:bCs/>
          <w:sz w:val="32"/>
          <w:szCs w:val="32"/>
          <w:lang w:eastAsia="zh-CN"/>
        </w:rPr>
        <w:t>公司：</w:t>
      </w:r>
    </w:p>
    <w:p w14:paraId="1ECF21E5">
      <w:pPr>
        <w:pStyle w:val="12"/>
        <w:rPr>
          <w:rFonts w:hint="default" w:ascii="Times New Roman" w:hAnsi="Times New Roman" w:eastAsia="仿宋_GB2312" w:cs="Times New Roman"/>
          <w:sz w:val="32"/>
          <w:szCs w:val="32"/>
          <w:lang w:val="en-US" w:eastAsia="zh-CN"/>
        </w:rPr>
      </w:pPr>
      <w:r>
        <w:rPr>
          <w:rFonts w:hint="default" w:eastAsia="仿宋_GB2312"/>
          <w:bCs/>
          <w:sz w:val="32"/>
          <w:szCs w:val="32"/>
          <w:lang w:eastAsia="zh-CN"/>
        </w:rPr>
        <w:t>你公司</w:t>
      </w:r>
      <w:r>
        <w:rPr>
          <w:rFonts w:hint="eastAsia" w:eastAsia="仿宋_GB2312"/>
          <w:bCs/>
          <w:sz w:val="32"/>
          <w:szCs w:val="32"/>
          <w:lang w:eastAsia="zh-CN"/>
        </w:rPr>
        <w:t>提交</w:t>
      </w:r>
      <w:r>
        <w:rPr>
          <w:rFonts w:hint="default" w:eastAsia="仿宋_GB2312"/>
          <w:bCs/>
          <w:sz w:val="32"/>
          <w:szCs w:val="32"/>
          <w:lang w:eastAsia="zh-CN"/>
        </w:rPr>
        <w:t>的《</w:t>
      </w:r>
      <w:r>
        <w:rPr>
          <w:rFonts w:hint="eastAsia" w:eastAsia="仿宋_GB2312"/>
          <w:bCs/>
          <w:sz w:val="32"/>
          <w:szCs w:val="32"/>
          <w:lang w:eastAsia="zh-CN"/>
        </w:rPr>
        <w:t>建设项目环境影响审批申请书</w:t>
      </w:r>
      <w:r>
        <w:rPr>
          <w:rFonts w:hint="default" w:eastAsia="仿宋_GB2312"/>
          <w:bCs/>
          <w:sz w:val="32"/>
          <w:szCs w:val="32"/>
          <w:lang w:eastAsia="zh-CN"/>
        </w:rPr>
        <w:t>》、</w:t>
      </w:r>
      <w:r>
        <w:rPr>
          <w:rFonts w:hint="eastAsia" w:eastAsia="仿宋_GB2312"/>
          <w:bCs/>
          <w:sz w:val="32"/>
          <w:szCs w:val="32"/>
          <w:lang w:eastAsia="zh-CN"/>
        </w:rPr>
        <w:t>联合泰泽环境科技发展有限公司</w:t>
      </w:r>
      <w:r>
        <w:rPr>
          <w:rFonts w:hint="eastAsia" w:eastAsia="仿宋_GB2312"/>
          <w:bCs/>
          <w:sz w:val="32"/>
          <w:szCs w:val="32"/>
          <w:lang w:val="en-US" w:eastAsia="zh-CN"/>
        </w:rPr>
        <w:t>编制的</w:t>
      </w:r>
      <w:r>
        <w:rPr>
          <w:rFonts w:hint="default" w:eastAsia="仿宋_GB2312"/>
          <w:bCs/>
          <w:sz w:val="32"/>
          <w:szCs w:val="32"/>
          <w:lang w:val="en-US" w:eastAsia="zh-CN"/>
        </w:rPr>
        <w:t>《绿电公司110kV部分西徐二线114线48-50号切改项目</w:t>
      </w:r>
      <w:r>
        <w:rPr>
          <w:rFonts w:hint="default" w:ascii="Times New Roman" w:hAnsi="Times New Roman" w:eastAsia="仿宋_GB2312" w:cs="Times New Roman"/>
          <w:sz w:val="32"/>
          <w:szCs w:val="32"/>
          <w:lang w:val="en-US" w:eastAsia="zh-CN"/>
        </w:rPr>
        <w:t>环境影响报告表》</w:t>
      </w:r>
      <w:r>
        <w:rPr>
          <w:rFonts w:hint="eastAsia" w:ascii="Times New Roman" w:hAnsi="Times New Roman" w:eastAsia="仿宋_GB2312" w:cs="Times New Roman"/>
          <w:sz w:val="32"/>
          <w:szCs w:val="32"/>
          <w:lang w:val="en-US" w:eastAsia="zh-CN"/>
        </w:rPr>
        <w:t>等文件</w:t>
      </w:r>
      <w:r>
        <w:rPr>
          <w:rFonts w:hint="default" w:ascii="Times New Roman" w:hAnsi="Times New Roman" w:eastAsia="仿宋_GB2312" w:cs="Times New Roman"/>
          <w:sz w:val="32"/>
          <w:szCs w:val="32"/>
          <w:lang w:val="en-US" w:eastAsia="zh-CN"/>
        </w:rPr>
        <w:t>收悉。经研究，现批复如下：</w:t>
      </w:r>
    </w:p>
    <w:p w14:paraId="7615ECD2">
      <w:pPr>
        <w:pStyle w:val="12"/>
        <w:numPr>
          <w:ilvl w:val="0"/>
          <w:numId w:val="1"/>
        </w:numP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w:t>
      </w:r>
      <w:r>
        <w:rPr>
          <w:rFonts w:hint="eastAsia" w:eastAsia="仿宋_GB2312" w:cs="Times New Roman"/>
          <w:sz w:val="32"/>
          <w:szCs w:val="32"/>
          <w:lang w:val="en-US" w:eastAsia="zh-CN"/>
        </w:rPr>
        <w:t>保障津潍高速铁路顺利施工，</w:t>
      </w:r>
      <w:r>
        <w:rPr>
          <w:rFonts w:hint="default" w:ascii="Times New Roman" w:hAnsi="Times New Roman" w:eastAsia="仿宋_GB2312" w:cs="Times New Roman"/>
          <w:sz w:val="32"/>
          <w:szCs w:val="32"/>
        </w:rPr>
        <w:t>你公司拟在</w:t>
      </w:r>
      <w:r>
        <w:rPr>
          <w:rFonts w:hint="eastAsia" w:eastAsia="仿宋_GB2312" w:cs="Times New Roman"/>
          <w:sz w:val="32"/>
          <w:szCs w:val="32"/>
          <w:lang w:val="en-US" w:eastAsia="zh-CN"/>
        </w:rPr>
        <w:t>滨海新区太平镇</w:t>
      </w:r>
      <w:r>
        <w:rPr>
          <w:rFonts w:hint="eastAsia" w:eastAsia="仿宋_GB2312"/>
          <w:bCs/>
          <w:sz w:val="32"/>
          <w:szCs w:val="32"/>
          <w:lang w:eastAsia="zh-CN"/>
        </w:rPr>
        <w:t>建设</w:t>
      </w:r>
      <w:r>
        <w:rPr>
          <w:rFonts w:hint="default" w:eastAsia="仿宋_GB2312"/>
          <w:bCs/>
          <w:sz w:val="32"/>
          <w:szCs w:val="32"/>
          <w:lang w:val="en-US" w:eastAsia="zh-CN"/>
        </w:rPr>
        <w:t>绿电公司110kV部分西徐二线114线48-50号切改项目</w:t>
      </w:r>
      <w:r>
        <w:rPr>
          <w:rFonts w:hint="eastAsia" w:eastAsia="仿宋_GB2312" w:cs="Times New Roman"/>
          <w:sz w:val="32"/>
          <w:szCs w:val="32"/>
          <w:lang w:val="en" w:eastAsia="zh-CN"/>
        </w:rPr>
        <w:t>（以下简称“</w:t>
      </w:r>
      <w:r>
        <w:rPr>
          <w:rFonts w:hint="eastAsia" w:eastAsia="仿宋_GB2312" w:cs="Times New Roman"/>
          <w:sz w:val="32"/>
          <w:szCs w:val="32"/>
          <w:lang w:val="en-US" w:eastAsia="zh-CN"/>
        </w:rPr>
        <w:t>项目</w:t>
      </w:r>
      <w:r>
        <w:rPr>
          <w:rFonts w:hint="eastAsia" w:eastAsia="仿宋_GB2312" w:cs="Times New Roman"/>
          <w:sz w:val="32"/>
          <w:szCs w:val="32"/>
          <w:lang w:val="en" w:eastAsia="zh-CN"/>
        </w:rPr>
        <w:t>”）。</w:t>
      </w:r>
      <w:r>
        <w:rPr>
          <w:rFonts w:hint="eastAsia" w:eastAsia="仿宋_GB2312" w:cs="Times New Roman"/>
          <w:sz w:val="32"/>
          <w:szCs w:val="32"/>
          <w:lang w:val="en-US" w:eastAsia="zh-CN"/>
        </w:rPr>
        <w:t>项目主要内容包括新建110kV单回电缆线路0.356km，新建电缆终端钢管塔（带电缆平台）1基；拆除110kV单回架空线路0.28km，拆除老塔2基。</w:t>
      </w:r>
      <w:r>
        <w:rPr>
          <w:rFonts w:hint="eastAsia" w:ascii="Times New Roman" w:hAnsi="Times New Roman" w:eastAsia="仿宋_GB2312" w:cs="Times New Roman"/>
          <w:sz w:val="32"/>
          <w:szCs w:val="32"/>
          <w:lang w:val="en-US" w:eastAsia="zh-CN"/>
        </w:rPr>
        <w:t>工程</w:t>
      </w:r>
      <w:r>
        <w:rPr>
          <w:rFonts w:hint="default" w:ascii="Times New Roman" w:hAnsi="Times New Roman" w:eastAsia="仿宋_GB2312" w:cs="Times New Roman"/>
          <w:sz w:val="32"/>
          <w:szCs w:val="32"/>
          <w:lang w:val="en-US" w:eastAsia="zh-CN"/>
        </w:rPr>
        <w:t>总投资为</w:t>
      </w:r>
      <w:r>
        <w:rPr>
          <w:rFonts w:hint="eastAsia" w:ascii="Times New Roman" w:hAnsi="Times New Roman" w:eastAsia="仿宋_GB2312" w:cs="Times New Roman"/>
          <w:sz w:val="32"/>
          <w:szCs w:val="32"/>
          <w:lang w:val="en-US" w:eastAsia="zh-CN"/>
        </w:rPr>
        <w:t>人民币</w:t>
      </w:r>
      <w:r>
        <w:rPr>
          <w:rFonts w:hint="eastAsia" w:eastAsia="仿宋_GB2312" w:cs="Times New Roman"/>
          <w:sz w:val="32"/>
          <w:szCs w:val="32"/>
          <w:lang w:val="en-US" w:eastAsia="zh-CN"/>
        </w:rPr>
        <w:t>833</w:t>
      </w:r>
      <w:r>
        <w:rPr>
          <w:rFonts w:hint="default" w:ascii="Times New Roman" w:hAnsi="Times New Roman" w:eastAsia="仿宋_GB2312" w:cs="Times New Roman"/>
          <w:sz w:val="32"/>
          <w:szCs w:val="32"/>
          <w:lang w:val="en-US" w:eastAsia="zh-CN"/>
        </w:rPr>
        <w:t>万元，环保投资</w:t>
      </w:r>
      <w:r>
        <w:rPr>
          <w:rFonts w:hint="eastAsia" w:ascii="Times New Roman" w:hAnsi="Times New Roman" w:eastAsia="仿宋_GB2312" w:cs="Times New Roman"/>
          <w:sz w:val="32"/>
          <w:szCs w:val="32"/>
          <w:lang w:val="en-US" w:eastAsia="zh-CN"/>
        </w:rPr>
        <w:t>人民币</w:t>
      </w:r>
      <w:r>
        <w:rPr>
          <w:rFonts w:hint="eastAsia" w:eastAsia="仿宋_GB2312" w:cs="Times New Roman"/>
          <w:sz w:val="32"/>
          <w:szCs w:val="32"/>
          <w:lang w:val="en-US" w:eastAsia="zh-CN"/>
        </w:rPr>
        <w:t>58</w:t>
      </w:r>
      <w:r>
        <w:rPr>
          <w:rFonts w:hint="default" w:ascii="Times New Roman" w:hAnsi="Times New Roman" w:eastAsia="仿宋_GB2312" w:cs="Times New Roman"/>
          <w:sz w:val="32"/>
          <w:szCs w:val="32"/>
          <w:lang w:val="en-US" w:eastAsia="zh-CN"/>
        </w:rPr>
        <w:t>万元，约占总投资的</w:t>
      </w:r>
      <w:r>
        <w:rPr>
          <w:rFonts w:hint="eastAsia" w:eastAsia="仿宋_GB2312" w:cs="Times New Roman"/>
          <w:sz w:val="32"/>
          <w:szCs w:val="32"/>
          <w:lang w:val="en-US" w:eastAsia="zh-CN"/>
        </w:rPr>
        <w:t>6.96</w:t>
      </w:r>
      <w:r>
        <w:rPr>
          <w:rFonts w:hint="default" w:ascii="Times New Roman" w:hAnsi="Times New Roman" w:eastAsia="仿宋_GB2312" w:cs="Times New Roman"/>
          <w:sz w:val="32"/>
          <w:szCs w:val="32"/>
          <w:lang w:val="en-US" w:eastAsia="zh-CN"/>
        </w:rPr>
        <w:t>%。</w:t>
      </w:r>
    </w:p>
    <w:p w14:paraId="61FC72FF">
      <w:pPr>
        <w:pStyle w:val="1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19</w:t>
      </w:r>
      <w:r>
        <w:rPr>
          <w:rFonts w:hint="default" w:ascii="Times New Roman" w:hAnsi="Times New Roman" w:eastAsia="仿宋_GB2312" w:cs="Times New Roman"/>
          <w:sz w:val="32"/>
          <w:szCs w:val="32"/>
          <w:lang w:val="en-US" w:eastAsia="zh-CN"/>
        </w:rPr>
        <w:t>日至</w:t>
      </w:r>
      <w:r>
        <w:rPr>
          <w:rFonts w:hint="eastAsia"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日，我局将该</w:t>
      </w: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lang w:val="en-US" w:eastAsia="zh-CN"/>
        </w:rPr>
        <w:t>环评</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受理情况进行</w:t>
      </w:r>
      <w:r>
        <w:rPr>
          <w:rFonts w:hint="eastAsia"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val="en-US" w:eastAsia="zh-CN"/>
        </w:rPr>
        <w:t>公示；</w:t>
      </w:r>
      <w:r>
        <w:rPr>
          <w:rFonts w:hint="eastAsia" w:eastAsia="仿宋_GB2312" w:cs="Times New Roman"/>
          <w:sz w:val="32"/>
          <w:szCs w:val="32"/>
          <w:lang w:val="en-US" w:eastAsia="zh-CN"/>
        </w:rPr>
        <w:t>1</w:t>
      </w:r>
      <w:r>
        <w:rPr>
          <w:rFonts w:hint="default" w:eastAsia="仿宋_GB2312" w:cs="Times New Roman"/>
          <w:sz w:val="32"/>
          <w:szCs w:val="32"/>
          <w:lang w:val="en" w:eastAsia="zh-CN"/>
        </w:rPr>
        <w:t>1</w:t>
      </w:r>
      <w:r>
        <w:rPr>
          <w:rFonts w:hint="default" w:ascii="Times New Roman" w:hAnsi="Times New Roman" w:eastAsia="仿宋_GB2312" w:cs="Times New Roman"/>
          <w:sz w:val="32"/>
          <w:szCs w:val="32"/>
          <w:lang w:val="en-US" w:eastAsia="zh-CN"/>
        </w:rPr>
        <w:t>月</w:t>
      </w:r>
      <w:r>
        <w:rPr>
          <w:rFonts w:hint="default" w:eastAsia="仿宋_GB2312" w:cs="Times New Roman"/>
          <w:sz w:val="32"/>
          <w:szCs w:val="32"/>
          <w:lang w:val="en" w:eastAsia="zh-CN"/>
        </w:rPr>
        <w:t>27</w:t>
      </w:r>
      <w:r>
        <w:rPr>
          <w:rFonts w:hint="default" w:ascii="Times New Roman" w:hAnsi="Times New Roman" w:eastAsia="仿宋_GB2312" w:cs="Times New Roman"/>
          <w:sz w:val="32"/>
          <w:szCs w:val="32"/>
          <w:lang w:val="en-US" w:eastAsia="zh-CN"/>
        </w:rPr>
        <w:t>日至</w:t>
      </w:r>
      <w:r>
        <w:rPr>
          <w:rFonts w:hint="eastAsia"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月</w:t>
      </w:r>
      <w:r>
        <w:rPr>
          <w:rFonts w:hint="default" w:eastAsia="仿宋_GB2312" w:cs="Times New Roman"/>
          <w:sz w:val="32"/>
          <w:szCs w:val="32"/>
          <w:lang w:val="en" w:eastAsia="zh-CN"/>
        </w:rPr>
        <w:t>3</w:t>
      </w:r>
      <w:r>
        <w:rPr>
          <w:rFonts w:hint="default" w:ascii="Times New Roman" w:hAnsi="Times New Roman" w:eastAsia="仿宋_GB2312" w:cs="Times New Roman"/>
          <w:sz w:val="32"/>
          <w:szCs w:val="32"/>
          <w:lang w:val="en-US" w:eastAsia="zh-CN"/>
        </w:rPr>
        <w:t>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将该</w:t>
      </w: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lang w:val="en-US" w:eastAsia="zh-CN"/>
        </w:rPr>
        <w:t>环评</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拟批复情况</w:t>
      </w:r>
      <w:r>
        <w:rPr>
          <w:rFonts w:hint="default" w:ascii="Times New Roman" w:hAnsi="Times New Roman" w:eastAsia="仿宋_GB2312" w:cs="Times New Roman"/>
          <w:sz w:val="32"/>
          <w:szCs w:val="32"/>
        </w:rPr>
        <w:t>进行</w:t>
      </w:r>
      <w:r>
        <w:rPr>
          <w:rFonts w:hint="eastAsia" w:eastAsia="仿宋_GB2312" w:cs="Times New Roman"/>
          <w:sz w:val="32"/>
          <w:szCs w:val="32"/>
          <w:lang w:val="en-US" w:eastAsia="zh-CN"/>
        </w:rPr>
        <w:t>了</w:t>
      </w:r>
      <w:r>
        <w:rPr>
          <w:rFonts w:hint="default" w:ascii="Times New Roman" w:hAnsi="Times New Roman" w:eastAsia="仿宋_GB2312" w:cs="Times New Roman"/>
          <w:sz w:val="32"/>
          <w:szCs w:val="32"/>
        </w:rPr>
        <w:t>公示；根据公众反馈意见情况及环评报告结论，在严格落实环评报告所提出的各项污染防治措施、确保各类污染物稳定达标的前提下，</w:t>
      </w:r>
      <w:r>
        <w:rPr>
          <w:rFonts w:hint="eastAsia" w:eastAsia="仿宋_GB2312" w:cs="Times New Roman"/>
          <w:sz w:val="32"/>
          <w:szCs w:val="32"/>
          <w:lang w:val="en-US" w:eastAsia="zh-CN"/>
        </w:rPr>
        <w:t>该</w:t>
      </w:r>
      <w:r>
        <w:rPr>
          <w:rFonts w:hint="eastAsia" w:eastAsia="仿宋_GB2312"/>
          <w:bCs/>
          <w:sz w:val="32"/>
          <w:szCs w:val="32"/>
          <w:lang w:val="en-US" w:eastAsia="zh-CN"/>
        </w:rPr>
        <w:t>项目</w:t>
      </w:r>
      <w:r>
        <w:rPr>
          <w:rFonts w:hint="eastAsia" w:eastAsia="仿宋_GB2312" w:cs="Times New Roman"/>
          <w:sz w:val="32"/>
          <w:szCs w:val="32"/>
          <w:lang w:val="en-US" w:eastAsia="zh-CN"/>
        </w:rPr>
        <w:t>具备环境可行性</w:t>
      </w:r>
      <w:r>
        <w:rPr>
          <w:rFonts w:hint="default" w:ascii="Times New Roman" w:hAnsi="Times New Roman" w:eastAsia="仿宋_GB2312" w:cs="Times New Roman"/>
          <w:sz w:val="32"/>
          <w:szCs w:val="32"/>
        </w:rPr>
        <w:t>。</w:t>
      </w:r>
    </w:p>
    <w:p w14:paraId="1A28E4B5">
      <w:pPr>
        <w:pStyle w:val="12"/>
        <w:numPr>
          <w:ilvl w:val="0"/>
          <w:numId w:val="2"/>
        </w:numPr>
        <w:rPr>
          <w:rFonts w:hint="default" w:ascii="Times New Roman" w:hAnsi="Times New Roman" w:eastAsia="仿宋_GB2312" w:cs="Times New Roman"/>
          <w:sz w:val="32"/>
          <w:szCs w:val="32"/>
        </w:rPr>
      </w:pP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rPr>
        <w:t>建设和运营期间，你公司应重点做好以下工作：</w:t>
      </w:r>
    </w:p>
    <w:p w14:paraId="3AE54DA5">
      <w:pPr>
        <w:pStyle w:val="12"/>
        <w:numPr>
          <w:ilvl w:val="0"/>
          <w:numId w:val="0"/>
        </w:numPr>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施工期间应严格执行国家相关环保法律法规和落实环评报告中提出的污染防范措施：做到合法施工，文明生产，减少扬尘污染；</w:t>
      </w:r>
      <w:r>
        <w:rPr>
          <w:rFonts w:hint="eastAsia" w:eastAsia="仿宋_GB2312"/>
          <w:sz w:val="32"/>
          <w:szCs w:val="32"/>
          <w:lang w:eastAsia="zh-CN"/>
        </w:rPr>
        <w:t>妥善处理</w:t>
      </w:r>
      <w:r>
        <w:rPr>
          <w:rFonts w:hint="eastAsia" w:eastAsia="仿宋_GB2312"/>
          <w:sz w:val="32"/>
          <w:szCs w:val="32"/>
        </w:rPr>
        <w:t>施工</w:t>
      </w:r>
      <w:r>
        <w:rPr>
          <w:rFonts w:hint="eastAsia" w:eastAsia="仿宋_GB2312"/>
          <w:sz w:val="32"/>
          <w:szCs w:val="32"/>
          <w:lang w:eastAsia="zh-CN"/>
        </w:rPr>
        <w:t>产生的施工</w:t>
      </w:r>
      <w:r>
        <w:rPr>
          <w:rFonts w:hint="eastAsia" w:eastAsia="仿宋_GB2312"/>
          <w:sz w:val="32"/>
          <w:szCs w:val="32"/>
        </w:rPr>
        <w:t>废水</w:t>
      </w:r>
      <w:r>
        <w:rPr>
          <w:rFonts w:hint="eastAsia" w:eastAsia="仿宋_GB2312" w:cs="Times New Roman"/>
          <w:sz w:val="32"/>
          <w:szCs w:val="32"/>
          <w:lang w:val="en-US" w:eastAsia="zh-CN"/>
        </w:rPr>
        <w:t>和</w:t>
      </w:r>
      <w:r>
        <w:rPr>
          <w:rFonts w:hint="default" w:ascii="Times New Roman" w:hAnsi="Times New Roman" w:eastAsia="仿宋_GB2312" w:cs="Times New Roman"/>
          <w:sz w:val="32"/>
          <w:szCs w:val="32"/>
        </w:rPr>
        <w:t>车辆</w:t>
      </w:r>
      <w:r>
        <w:rPr>
          <w:rFonts w:hint="eastAsia" w:eastAsia="仿宋_GB2312" w:cs="Times New Roman"/>
          <w:sz w:val="32"/>
          <w:szCs w:val="32"/>
          <w:lang w:val="en-US" w:eastAsia="zh-CN"/>
        </w:rPr>
        <w:t>冲洗</w:t>
      </w:r>
      <w:r>
        <w:rPr>
          <w:rFonts w:hint="default" w:ascii="Times New Roman" w:hAnsi="Times New Roman" w:eastAsia="仿宋_GB2312" w:cs="Times New Roman"/>
          <w:sz w:val="32"/>
          <w:szCs w:val="32"/>
        </w:rPr>
        <w:t>废水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经沉淀后用于</w:t>
      </w:r>
      <w:r>
        <w:rPr>
          <w:rFonts w:hint="default" w:ascii="Times New Roman" w:hAnsi="Times New Roman" w:eastAsia="仿宋_GB2312" w:cs="Times New Roman"/>
          <w:sz w:val="32"/>
          <w:szCs w:val="32"/>
          <w:lang w:val="en-US" w:eastAsia="zh-CN"/>
        </w:rPr>
        <w:t>施工现场洒水抑尘；</w:t>
      </w:r>
      <w:r>
        <w:rPr>
          <w:rFonts w:hint="default" w:ascii="Times New Roman" w:hAnsi="Times New Roman" w:eastAsia="仿宋_GB2312" w:cs="Times New Roman"/>
          <w:sz w:val="32"/>
          <w:szCs w:val="32"/>
        </w:rPr>
        <w:t>施工场地固体垃圾应及时清运；合理安排施工时间和施工区域，加强对高噪声机械的管理。</w:t>
      </w:r>
    </w:p>
    <w:p w14:paraId="791DE58F">
      <w:pPr>
        <w:pStyle w:val="12"/>
        <w:numPr>
          <w:ilvl w:val="0"/>
          <w:numId w:val="0"/>
        </w:numPr>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w:t>
      </w:r>
      <w:r>
        <w:rPr>
          <w:rFonts w:hint="eastAsia" w:eastAsia="仿宋_GB2312" w:cs="Times New Roman"/>
          <w:sz w:val="32"/>
          <w:szCs w:val="32"/>
          <w:lang w:val="en-US" w:eastAsia="zh-CN"/>
        </w:rPr>
        <w:t>施工过程中要</w:t>
      </w:r>
      <w:r>
        <w:rPr>
          <w:rFonts w:hint="default" w:ascii="Times New Roman" w:hAnsi="Times New Roman" w:eastAsia="仿宋_GB2312" w:cs="Times New Roman"/>
          <w:sz w:val="32"/>
          <w:szCs w:val="32"/>
          <w:lang w:val="en-US" w:eastAsia="zh-CN"/>
        </w:rPr>
        <w:t>采取全面的生态保护和水土保持措施</w:t>
      </w:r>
      <w:r>
        <w:rPr>
          <w:rFonts w:hint="eastAsia" w:eastAsia="仿宋_GB2312" w:cs="Times New Roman"/>
          <w:sz w:val="32"/>
          <w:szCs w:val="32"/>
          <w:lang w:val="en-US" w:eastAsia="zh-CN"/>
        </w:rPr>
        <w:t>；</w:t>
      </w:r>
      <w:r>
        <w:rPr>
          <w:rFonts w:hint="eastAsia" w:eastAsia="仿宋_GB2312" w:cs="Times New Roman"/>
          <w:sz w:val="32"/>
          <w:szCs w:val="32"/>
          <w:lang w:eastAsia="zh-CN"/>
        </w:rPr>
        <w:t>严格控制临时用地边界，并及时做好生态恢复</w:t>
      </w:r>
      <w:r>
        <w:rPr>
          <w:rFonts w:hint="eastAsia" w:ascii="Times New Roman" w:hAnsi="Times New Roman" w:eastAsia="仿宋_GB2312" w:cs="Times New Roman"/>
          <w:sz w:val="32"/>
          <w:szCs w:val="32"/>
          <w:lang w:val="en-US" w:eastAsia="zh-CN"/>
        </w:rPr>
        <w:t>。</w:t>
      </w:r>
    </w:p>
    <w:p w14:paraId="02F581ED">
      <w:pPr>
        <w:pStyle w:val="12"/>
        <w:numPr>
          <w:ilvl w:val="0"/>
          <w:numId w:val="0"/>
        </w:numPr>
        <w:ind w:firstLine="640" w:firstLineChars="200"/>
        <w:rPr>
          <w:rFonts w:hint="default" w:ascii="Times New Roman" w:hAnsi="Times New Roman" w:eastAsia="仿宋_GB2312" w:cs="Times New Roman"/>
          <w:color w:val="auto"/>
          <w:sz w:val="32"/>
          <w:szCs w:val="32"/>
        </w:rPr>
      </w:pP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严格落实</w:t>
      </w:r>
      <w:r>
        <w:rPr>
          <w:rFonts w:hint="default" w:ascii="Times New Roman" w:hAnsi="Times New Roman" w:eastAsia="仿宋_GB2312" w:cs="Times New Roman"/>
          <w:color w:val="auto"/>
          <w:sz w:val="32"/>
          <w:szCs w:val="32"/>
        </w:rPr>
        <w:t>控制工频电场、工频磁场的各项环境保护措施，确保</w:t>
      </w:r>
      <w:r>
        <w:rPr>
          <w:rFonts w:hint="default" w:ascii="Times New Roman" w:hAnsi="Times New Roman" w:eastAsia="仿宋_GB2312" w:cs="Times New Roman"/>
          <w:color w:val="auto"/>
          <w:sz w:val="32"/>
          <w:szCs w:val="32"/>
          <w:lang w:eastAsia="zh-CN"/>
        </w:rPr>
        <w:t>输电线路沿线的</w:t>
      </w:r>
      <w:r>
        <w:rPr>
          <w:rFonts w:hint="default" w:ascii="Times New Roman" w:hAnsi="Times New Roman" w:eastAsia="仿宋_GB2312" w:cs="Times New Roman"/>
          <w:color w:val="auto"/>
          <w:sz w:val="32"/>
          <w:szCs w:val="32"/>
        </w:rPr>
        <w:t>工频电场强度、工频磁感应强度符合《电磁环境控制限值》限值要求。</w:t>
      </w:r>
    </w:p>
    <w:p w14:paraId="4C35E6CD">
      <w:pPr>
        <w:pStyle w:val="12"/>
        <w:numPr>
          <w:ilvl w:val="0"/>
          <w:numId w:val="0"/>
        </w:num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三、该</w:t>
      </w: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rPr>
        <w:t>无新增</w:t>
      </w:r>
      <w:r>
        <w:rPr>
          <w:rFonts w:hint="eastAsia" w:eastAsia="仿宋_GB2312" w:cs="Times New Roman"/>
          <w:sz w:val="32"/>
          <w:szCs w:val="32"/>
          <w:lang w:val="en-US" w:eastAsia="zh-CN"/>
        </w:rPr>
        <w:t>重点</w:t>
      </w:r>
      <w:r>
        <w:rPr>
          <w:rFonts w:hint="default" w:ascii="Times New Roman" w:hAnsi="Times New Roman" w:eastAsia="仿宋_GB2312" w:cs="Times New Roman"/>
          <w:sz w:val="32"/>
          <w:szCs w:val="32"/>
        </w:rPr>
        <w:t>污染物排放总量。</w:t>
      </w:r>
    </w:p>
    <w:p w14:paraId="72DF4FBB">
      <w:pPr>
        <w:pStyle w:val="12"/>
        <w:numPr>
          <w:ilvl w:val="0"/>
          <w:numId w:val="0"/>
        </w:num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rPr>
        <w:t>建设应严格执行环境保护设施与主体工程同时设计、同时施工、同时投产使用的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三同时</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管理制度</w:t>
      </w:r>
      <w:r>
        <w:rPr>
          <w:rFonts w:hint="eastAsia" w:eastAsia="仿宋_GB2312" w:cs="Times New Roman"/>
          <w:sz w:val="32"/>
          <w:szCs w:val="32"/>
          <w:lang w:eastAsia="zh-CN"/>
        </w:rPr>
        <w:t>；</w:t>
      </w: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rPr>
        <w:t>竣工后</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你公司应按规定的标准和程序开展环境保护验收，经验收合格后方可正式投入运营</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若</w:t>
      </w: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rPr>
        <w:t>的性质、规模、地点、生产工艺或防治污染</w:t>
      </w:r>
      <w:r>
        <w:rPr>
          <w:rFonts w:hint="eastAsia" w:eastAsia="仿宋_GB2312" w:cs="Times New Roman"/>
          <w:sz w:val="32"/>
          <w:szCs w:val="32"/>
          <w:lang w:eastAsia="zh-CN"/>
        </w:rPr>
        <w:t>、生态环境保护</w:t>
      </w:r>
      <w:r>
        <w:rPr>
          <w:rFonts w:hint="default" w:ascii="Times New Roman" w:hAnsi="Times New Roman" w:eastAsia="仿宋_GB2312" w:cs="Times New Roman"/>
          <w:sz w:val="32"/>
          <w:szCs w:val="32"/>
        </w:rPr>
        <w:t>的措施发生重大变动，要重新报批环境影响评价文件。</w:t>
      </w:r>
    </w:p>
    <w:p w14:paraId="73AC6B22">
      <w:pPr>
        <w:pStyle w:val="12"/>
        <w:numPr>
          <w:ilvl w:val="0"/>
          <w:numId w:val="0"/>
        </w:numPr>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val="en-US" w:eastAsia="zh-CN"/>
        </w:rPr>
        <w:t>五</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项目</w:t>
      </w:r>
      <w:r>
        <w:rPr>
          <w:rFonts w:hint="default" w:ascii="Times New Roman" w:hAnsi="Times New Roman" w:eastAsia="仿宋_GB2312" w:cs="Times New Roman"/>
          <w:sz w:val="32"/>
          <w:szCs w:val="32"/>
        </w:rPr>
        <w:t>应执行以下标准：</w:t>
      </w:r>
    </w:p>
    <w:p w14:paraId="450E4018">
      <w:pPr>
        <w:pStyle w:val="12"/>
        <w:numPr>
          <w:ilvl w:val="0"/>
          <w:numId w:val="0"/>
        </w:numPr>
        <w:ind w:firstLine="640" w:firstLineChars="200"/>
        <w:rPr>
          <w:rFonts w:hint="eastAsia"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《环境空气质量标准》（GB</w:t>
      </w:r>
      <w:r>
        <w:rPr>
          <w:rFonts w:hint="default" w:eastAsia="仿宋_GB2312" w:cs="Times New Roman"/>
          <w:sz w:val="32"/>
          <w:szCs w:val="32"/>
          <w:lang w:val="en"/>
        </w:rPr>
        <w:t xml:space="preserve"> </w:t>
      </w:r>
      <w:r>
        <w:rPr>
          <w:rFonts w:hint="default" w:ascii="Times New Roman" w:hAnsi="Times New Roman" w:eastAsia="仿宋_GB2312" w:cs="Times New Roman"/>
          <w:sz w:val="32"/>
          <w:szCs w:val="32"/>
        </w:rPr>
        <w:t>3095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2012）二级</w:t>
      </w:r>
      <w:r>
        <w:rPr>
          <w:rFonts w:hint="eastAsia" w:eastAsia="仿宋_GB2312" w:cs="Times New Roman"/>
          <w:sz w:val="32"/>
          <w:szCs w:val="32"/>
          <w:lang w:eastAsia="zh-CN"/>
        </w:rPr>
        <w:t>；</w:t>
      </w:r>
    </w:p>
    <w:p w14:paraId="758BDC6A">
      <w:pPr>
        <w:pStyle w:val="12"/>
        <w:numPr>
          <w:ilvl w:val="0"/>
          <w:numId w:val="0"/>
        </w:numPr>
        <w:ind w:firstLine="640" w:firstLineChars="200"/>
        <w:rPr>
          <w:rFonts w:hint="eastAsia" w:eastAsia="仿宋_GB2312" w:cs="Times New Roman"/>
          <w:sz w:val="32"/>
          <w:szCs w:val="32"/>
          <w:lang w:eastAsia="zh-CN"/>
        </w:rPr>
      </w:pP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《建筑施工场界环境噪声排放标准》（GB</w:t>
      </w:r>
      <w:r>
        <w:rPr>
          <w:rFonts w:hint="default" w:eastAsia="仿宋_GB2312" w:cs="Times New Roman"/>
          <w:sz w:val="32"/>
          <w:szCs w:val="32"/>
          <w:lang w:val="en"/>
        </w:rPr>
        <w:t xml:space="preserve"> </w:t>
      </w:r>
      <w:r>
        <w:rPr>
          <w:rFonts w:hint="default" w:ascii="Times New Roman" w:hAnsi="Times New Roman" w:eastAsia="仿宋_GB2312" w:cs="Times New Roman"/>
          <w:sz w:val="32"/>
          <w:szCs w:val="32"/>
        </w:rPr>
        <w:t>12523-2011）</w:t>
      </w:r>
      <w:r>
        <w:rPr>
          <w:rFonts w:hint="eastAsia" w:eastAsia="仿宋_GB2312" w:cs="Times New Roman"/>
          <w:sz w:val="32"/>
          <w:szCs w:val="32"/>
          <w:lang w:eastAsia="zh-CN"/>
        </w:rPr>
        <w:t>；</w:t>
      </w:r>
    </w:p>
    <w:p w14:paraId="32D7C9F5">
      <w:pPr>
        <w:pStyle w:val="12"/>
        <w:numPr>
          <w:ilvl w:val="0"/>
          <w:numId w:val="0"/>
        </w:numPr>
        <w:ind w:firstLine="640" w:firstLineChars="200"/>
        <w:rPr>
          <w:rFonts w:hint="eastAsia" w:eastAsia="仿宋_GB2312" w:cs="Times New Roman"/>
          <w:sz w:val="32"/>
          <w:szCs w:val="32"/>
          <w:lang w:eastAsia="zh-CN"/>
        </w:rPr>
      </w:pP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《电磁环境控制限值》（GB</w:t>
      </w:r>
      <w:r>
        <w:rPr>
          <w:rFonts w:hint="default" w:eastAsia="仿宋_GB2312" w:cs="Times New Roman"/>
          <w:sz w:val="32"/>
          <w:szCs w:val="32"/>
          <w:lang w:val="en"/>
        </w:rPr>
        <w:t xml:space="preserve"> </w:t>
      </w:r>
      <w:r>
        <w:rPr>
          <w:rFonts w:hint="default" w:ascii="Times New Roman" w:hAnsi="Times New Roman" w:eastAsia="仿宋_GB2312" w:cs="Times New Roman"/>
          <w:sz w:val="32"/>
          <w:szCs w:val="32"/>
        </w:rPr>
        <w:t>8702-2014）</w:t>
      </w:r>
      <w:r>
        <w:rPr>
          <w:rFonts w:hint="eastAsia" w:eastAsia="仿宋_GB2312" w:cs="Times New Roman"/>
          <w:sz w:val="32"/>
          <w:szCs w:val="32"/>
          <w:lang w:eastAsia="zh-CN"/>
        </w:rPr>
        <w:t>。</w:t>
      </w:r>
    </w:p>
    <w:p w14:paraId="4F1286A3">
      <w:pPr>
        <w:pStyle w:val="12"/>
        <w:numPr>
          <w:ilvl w:val="0"/>
          <w:numId w:val="0"/>
        </w:numPr>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此复</w:t>
      </w:r>
    </w:p>
    <w:p w14:paraId="691A378C">
      <w:pPr>
        <w:pStyle w:val="2"/>
        <w:rPr>
          <w:rFonts w:hint="default"/>
        </w:rPr>
      </w:pPr>
    </w:p>
    <w:p w14:paraId="7382F504">
      <w:pPr>
        <w:rPr>
          <w:rFonts w:hint="default"/>
        </w:rPr>
      </w:pPr>
    </w:p>
    <w:p w14:paraId="2380F1DB">
      <w:pPr>
        <w:pStyle w:val="2"/>
        <w:rPr>
          <w:rFonts w:hint="default"/>
        </w:rPr>
      </w:pPr>
    </w:p>
    <w:p w14:paraId="0F0E9060">
      <w:pPr>
        <w:wordWrap w:val="0"/>
        <w:ind w:firstLine="5120" w:firstLineChars="1600"/>
        <w:jc w:val="both"/>
        <w:rPr>
          <w:rFonts w:hint="eastAsia" w:eastAsia="仿宋_GB2312"/>
          <w:sz w:val="32"/>
          <w:lang w:val="en-US" w:eastAsia="zh-CN"/>
        </w:rPr>
      </w:pPr>
      <w:r>
        <w:rPr>
          <w:rFonts w:hint="eastAsia" w:eastAsia="仿宋_GB2312"/>
          <w:sz w:val="32"/>
        </w:rPr>
        <w:t xml:space="preserve"> </w:t>
      </w:r>
      <w:r>
        <w:rPr>
          <w:rFonts w:hint="eastAsia" w:eastAsia="仿宋_GB2312"/>
          <w:sz w:val="32"/>
          <w:lang w:val="en-US" w:eastAsia="zh-CN"/>
        </w:rPr>
        <w:t>2025年12月</w:t>
      </w:r>
      <w:r>
        <w:rPr>
          <w:rFonts w:hint="default" w:eastAsia="仿宋_GB2312"/>
          <w:sz w:val="32"/>
          <w:lang w:val="en" w:eastAsia="zh-CN"/>
        </w:rPr>
        <w:t>4</w:t>
      </w:r>
      <w:r>
        <w:rPr>
          <w:rFonts w:hint="eastAsia" w:eastAsia="仿宋_GB2312"/>
          <w:sz w:val="32"/>
          <w:lang w:val="en-US" w:eastAsia="zh-CN"/>
        </w:rPr>
        <w:t xml:space="preserve">日  </w:t>
      </w:r>
    </w:p>
    <w:p w14:paraId="0B7D73DA">
      <w:pPr>
        <w:pStyle w:val="2"/>
        <w:rPr>
          <w:rFonts w:hint="eastAsia"/>
          <w:lang w:val="en-US" w:eastAsia="zh-CN"/>
        </w:rPr>
      </w:pPr>
    </w:p>
    <w:p w14:paraId="0E0CD2E1">
      <w:pPr>
        <w:pStyle w:val="2"/>
        <w:wordWrap/>
        <w:rPr>
          <w:rFonts w:hint="eastAsia"/>
          <w:sz w:val="15"/>
          <w:szCs w:val="15"/>
          <w:lang w:val="en-US" w:eastAsia="zh-CN"/>
        </w:rPr>
      </w:pPr>
    </w:p>
    <w:p w14:paraId="5585FC7A">
      <w:pPr>
        <w:rPr>
          <w:rFonts w:hint="eastAsia"/>
          <w:sz w:val="15"/>
          <w:szCs w:val="15"/>
          <w:lang w:val="en-US" w:eastAsia="zh-CN"/>
        </w:rPr>
      </w:pPr>
    </w:p>
    <w:p w14:paraId="3366DE2E">
      <w:pPr>
        <w:pStyle w:val="2"/>
        <w:rPr>
          <w:rFonts w:hint="eastAsia"/>
          <w:sz w:val="15"/>
          <w:szCs w:val="15"/>
          <w:lang w:val="en-US" w:eastAsia="zh-CN"/>
        </w:rPr>
      </w:pPr>
    </w:p>
    <w:p w14:paraId="08D1B4FB">
      <w:pPr>
        <w:rPr>
          <w:rFonts w:hint="eastAsia"/>
          <w:sz w:val="15"/>
          <w:szCs w:val="15"/>
          <w:lang w:val="en-US" w:eastAsia="zh-CN"/>
        </w:rPr>
      </w:pPr>
    </w:p>
    <w:p w14:paraId="1460D15B">
      <w:pPr>
        <w:pStyle w:val="2"/>
        <w:rPr>
          <w:rFonts w:hint="eastAsia"/>
          <w:sz w:val="15"/>
          <w:szCs w:val="15"/>
          <w:lang w:val="en-US" w:eastAsia="zh-CN"/>
        </w:rPr>
      </w:pPr>
    </w:p>
    <w:p w14:paraId="0D9D1335">
      <w:pPr>
        <w:rPr>
          <w:rFonts w:hint="eastAsia"/>
          <w:sz w:val="15"/>
          <w:szCs w:val="15"/>
          <w:lang w:val="en-US" w:eastAsia="zh-CN"/>
        </w:rPr>
      </w:pPr>
    </w:p>
    <w:p w14:paraId="44FFE8CA">
      <w:pPr>
        <w:pStyle w:val="2"/>
        <w:rPr>
          <w:rFonts w:hint="eastAsia"/>
          <w:sz w:val="15"/>
          <w:szCs w:val="15"/>
          <w:lang w:val="en-US" w:eastAsia="zh-CN"/>
        </w:rPr>
      </w:pPr>
    </w:p>
    <w:p w14:paraId="062E259F">
      <w:pPr>
        <w:rPr>
          <w:rFonts w:hint="eastAsia"/>
          <w:sz w:val="15"/>
          <w:szCs w:val="15"/>
          <w:lang w:val="en-US" w:eastAsia="zh-CN"/>
        </w:rPr>
      </w:pPr>
    </w:p>
    <w:p w14:paraId="1819E56A">
      <w:pPr>
        <w:pStyle w:val="2"/>
        <w:rPr>
          <w:rFonts w:hint="eastAsia"/>
          <w:sz w:val="15"/>
          <w:szCs w:val="15"/>
          <w:lang w:val="en-US" w:eastAsia="zh-CN"/>
        </w:rPr>
      </w:pPr>
    </w:p>
    <w:p w14:paraId="3D01B32A">
      <w:pPr>
        <w:rPr>
          <w:rFonts w:hint="eastAsia"/>
          <w:sz w:val="15"/>
          <w:szCs w:val="15"/>
          <w:lang w:val="en-US" w:eastAsia="zh-CN"/>
        </w:rPr>
      </w:pPr>
    </w:p>
    <w:p w14:paraId="116EB2FE">
      <w:pPr>
        <w:pStyle w:val="2"/>
        <w:rPr>
          <w:rFonts w:hint="eastAsia"/>
          <w:sz w:val="15"/>
          <w:szCs w:val="15"/>
          <w:lang w:val="en-US" w:eastAsia="zh-CN"/>
        </w:rPr>
      </w:pPr>
    </w:p>
    <w:p w14:paraId="55395D02">
      <w:pPr>
        <w:rPr>
          <w:rFonts w:hint="eastAsia"/>
          <w:sz w:val="15"/>
          <w:szCs w:val="15"/>
          <w:lang w:val="en-US" w:eastAsia="zh-CN"/>
        </w:rPr>
      </w:pPr>
    </w:p>
    <w:p w14:paraId="7DDC1F7D">
      <w:pPr>
        <w:pStyle w:val="2"/>
        <w:rPr>
          <w:rFonts w:hint="eastAsia"/>
          <w:sz w:val="15"/>
          <w:szCs w:val="15"/>
          <w:lang w:val="en-US" w:eastAsia="zh-CN"/>
        </w:rPr>
      </w:pPr>
    </w:p>
    <w:p w14:paraId="66A400FF">
      <w:pPr>
        <w:pStyle w:val="2"/>
        <w:rPr>
          <w:rFonts w:hint="eastAsia"/>
          <w:lang w:val="en-US" w:eastAsia="zh-CN"/>
        </w:rPr>
      </w:pPr>
    </w:p>
    <w:p w14:paraId="52B8FE01">
      <w:pPr>
        <w:spacing w:line="680" w:lineRule="exact"/>
        <w:rPr>
          <w:rFonts w:hint="eastAsia" w:eastAsia="仿宋_GB2312"/>
          <w:sz w:val="28"/>
          <w:szCs w:val="28"/>
        </w:rPr>
      </w:pPr>
      <w:r>
        <w:rPr>
          <w:rFonts w:eastAsia="仿宋_GB2312"/>
          <w:sz w:val="28"/>
          <w:szCs w:val="28"/>
        </w:rPr>
        <w:t>主题词：环境影响 报告</w:t>
      </w:r>
      <w:r>
        <w:rPr>
          <w:rFonts w:hint="eastAsia" w:eastAsia="仿宋_GB2312"/>
          <w:sz w:val="28"/>
          <w:szCs w:val="28"/>
          <w:lang w:eastAsia="zh-CN"/>
        </w:rPr>
        <w:t>表</w:t>
      </w:r>
      <w:r>
        <w:rPr>
          <w:rFonts w:eastAsia="仿宋_GB2312"/>
          <w:sz w:val="28"/>
          <w:szCs w:val="28"/>
        </w:rPr>
        <w:t xml:space="preserve"> 批复     </w:t>
      </w:r>
      <w:r>
        <w:rPr>
          <w:rFonts w:hint="eastAsia" w:eastAsia="仿宋_GB2312"/>
          <w:sz w:val="28"/>
          <w:szCs w:val="28"/>
          <w:lang w:val="en-US" w:eastAsia="zh-CN"/>
        </w:rPr>
        <w:t xml:space="preserve"> </w:t>
      </w:r>
      <w:r>
        <w:rPr>
          <w:rFonts w:eastAsia="仿宋_GB2312"/>
          <w:sz w:val="28"/>
          <w:szCs w:val="28"/>
        </w:rPr>
        <w:t xml:space="preserve">   </w:t>
      </w:r>
      <w:r>
        <w:rPr>
          <w:rFonts w:hint="eastAsia" w:eastAsia="仿宋_GB2312"/>
          <w:sz w:val="28"/>
          <w:szCs w:val="28"/>
        </w:rPr>
        <w:t xml:space="preserve">           </w:t>
      </w:r>
      <w:r>
        <w:rPr>
          <w:rFonts w:hint="eastAsia" w:eastAsia="仿宋_GB2312"/>
          <w:sz w:val="28"/>
          <w:szCs w:val="28"/>
          <w:lang w:val="en-US" w:eastAsia="zh-CN"/>
        </w:rPr>
        <w:t xml:space="preserve">  </w:t>
      </w:r>
      <w:r>
        <w:rPr>
          <w:rFonts w:hint="eastAsia" w:eastAsia="仿宋_GB2312"/>
          <w:sz w:val="28"/>
          <w:szCs w:val="28"/>
        </w:rPr>
        <w:t xml:space="preserve">  （</w:t>
      </w:r>
      <w:r>
        <w:rPr>
          <w:rFonts w:eastAsia="仿宋_GB2312"/>
          <w:sz w:val="28"/>
          <w:szCs w:val="28"/>
        </w:rPr>
        <w:t>共印</w:t>
      </w:r>
      <w:r>
        <w:rPr>
          <w:rFonts w:hint="eastAsia" w:eastAsia="仿宋_GB2312"/>
          <w:sz w:val="28"/>
          <w:szCs w:val="28"/>
          <w:lang w:val="en-US" w:eastAsia="zh-CN"/>
        </w:rPr>
        <w:t>3</w:t>
      </w:r>
      <w:r>
        <w:rPr>
          <w:rFonts w:eastAsia="仿宋_GB2312"/>
          <w:sz w:val="28"/>
          <w:szCs w:val="28"/>
        </w:rPr>
        <w:t>份）</w:t>
      </w:r>
    </w:p>
    <w:tbl>
      <w:tblPr>
        <w:tblStyle w:val="5"/>
        <w:tblW w:w="9054" w:type="dxa"/>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9054"/>
      </w:tblGrid>
      <w:tr w14:paraId="0A0AA524">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67" w:hRule="atLeast"/>
        </w:trPr>
        <w:tc>
          <w:tcPr>
            <w:tcW w:w="9054" w:type="dxa"/>
            <w:tcBorders>
              <w:top w:val="single" w:color="auto" w:sz="8" w:space="0"/>
              <w:bottom w:val="single" w:color="auto" w:sz="8" w:space="0"/>
            </w:tcBorders>
            <w:vAlign w:val="top"/>
          </w:tcPr>
          <w:p w14:paraId="4AB8A46E">
            <w:pPr>
              <w:spacing w:line="680" w:lineRule="exact"/>
              <w:ind w:right="160"/>
              <w:rPr>
                <w:sz w:val="32"/>
              </w:rPr>
            </w:pPr>
            <w:r>
              <w:rPr>
                <w:rFonts w:eastAsia="仿宋_GB2312"/>
                <w:sz w:val="28"/>
                <w:szCs w:val="28"/>
              </w:rPr>
              <w:t>抄</w:t>
            </w:r>
            <w:r>
              <w:rPr>
                <w:rFonts w:hint="eastAsia" w:eastAsia="仿宋_GB2312"/>
                <w:sz w:val="28"/>
                <w:szCs w:val="28"/>
                <w:lang w:val="en-US" w:eastAsia="zh-CN"/>
              </w:rPr>
              <w:t xml:space="preserve">  </w:t>
            </w:r>
            <w:r>
              <w:rPr>
                <w:rFonts w:eastAsia="仿宋_GB2312"/>
                <w:sz w:val="28"/>
                <w:szCs w:val="28"/>
              </w:rPr>
              <w:t>送：天津市滨海新区生态环境局</w:t>
            </w:r>
          </w:p>
        </w:tc>
      </w:tr>
    </w:tbl>
    <w:p w14:paraId="47C04111">
      <w:r>
        <w:rPr>
          <w:rFonts w:hint="eastAsia" w:eastAsia="仿宋_GB2312"/>
          <w:sz w:val="28"/>
          <w:szCs w:val="28"/>
        </w:rPr>
        <w:t xml:space="preserve">天津市滨海新区行政审批局             </w:t>
      </w:r>
      <w:r>
        <w:rPr>
          <w:rFonts w:hint="eastAsia" w:eastAsia="仿宋_GB2312"/>
          <w:sz w:val="28"/>
          <w:szCs w:val="28"/>
          <w:lang w:val="en-US" w:eastAsia="zh-CN"/>
        </w:rPr>
        <w:t xml:space="preserve">      2025</w:t>
      </w:r>
      <w:r>
        <w:rPr>
          <w:rFonts w:eastAsia="仿宋_GB2312"/>
          <w:sz w:val="28"/>
          <w:szCs w:val="28"/>
        </w:rPr>
        <w:t>年</w:t>
      </w:r>
      <w:r>
        <w:rPr>
          <w:rFonts w:hint="eastAsia" w:eastAsia="仿宋_GB2312"/>
          <w:sz w:val="28"/>
          <w:szCs w:val="28"/>
          <w:lang w:val="en-US" w:eastAsia="zh-CN"/>
        </w:rPr>
        <w:t>12</w:t>
      </w:r>
      <w:r>
        <w:rPr>
          <w:rFonts w:eastAsia="仿宋_GB2312"/>
          <w:sz w:val="28"/>
          <w:szCs w:val="28"/>
        </w:rPr>
        <w:t>月</w:t>
      </w:r>
      <w:r>
        <w:rPr>
          <w:rFonts w:hint="default" w:eastAsia="仿宋_GB2312"/>
          <w:sz w:val="28"/>
          <w:szCs w:val="28"/>
          <w:lang w:val="en" w:eastAsia="zh-CN"/>
        </w:rPr>
        <w:t>4</w:t>
      </w:r>
      <w:r>
        <w:rPr>
          <w:rFonts w:eastAsia="仿宋_GB2312"/>
          <w:sz w:val="28"/>
          <w:szCs w:val="28"/>
        </w:rPr>
        <w:t>日印发</w:t>
      </w:r>
    </w:p>
    <w:sectPr>
      <w:footerReference r:id="rId3" w:type="default"/>
      <w:footerReference r:id="rId4" w:type="even"/>
      <w:pgSz w:w="11906" w:h="16838"/>
      <w:pgMar w:top="1440" w:right="1474" w:bottom="1440"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904A1">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B80DD9">
                          <w:pPr>
                            <w:pStyle w:val="3"/>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- 1 -</w:t>
                          </w:r>
                          <w:r>
                            <w:rPr>
                              <w:rStyle w:val="7"/>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B80DD9">
                    <w:pPr>
                      <w:pStyle w:val="3"/>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- 1 -</w:t>
                    </w:r>
                    <w:r>
                      <w:rPr>
                        <w:rStyle w:val="7"/>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09909">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14:paraId="572FC3DF">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E8A2B"/>
    <w:multiLevelType w:val="singleLevel"/>
    <w:tmpl w:val="BEEE8A2B"/>
    <w:lvl w:ilvl="0" w:tentative="0">
      <w:start w:val="2"/>
      <w:numFmt w:val="chineseCounting"/>
      <w:suff w:val="nothing"/>
      <w:lvlText w:val="%1、"/>
      <w:lvlJc w:val="left"/>
      <w:rPr>
        <w:rFonts w:hint="eastAsia"/>
      </w:rPr>
    </w:lvl>
  </w:abstractNum>
  <w:abstractNum w:abstractNumId="1">
    <w:nsid w:val="CDD7C8B0"/>
    <w:multiLevelType w:val="singleLevel"/>
    <w:tmpl w:val="CDD7C8B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4Y2IxYWRjN2EzMDcyYTNjZmRhN2U4ZWRiYWRmNGEifQ=="/>
  </w:docVars>
  <w:rsids>
    <w:rsidRoot w:val="00745E92"/>
    <w:rsid w:val="000052E2"/>
    <w:rsid w:val="000D0BAA"/>
    <w:rsid w:val="000F7AB4"/>
    <w:rsid w:val="001070EC"/>
    <w:rsid w:val="00145F43"/>
    <w:rsid w:val="00152774"/>
    <w:rsid w:val="00180D2F"/>
    <w:rsid w:val="001964EB"/>
    <w:rsid w:val="001A023C"/>
    <w:rsid w:val="00234BD5"/>
    <w:rsid w:val="00254B41"/>
    <w:rsid w:val="002E284B"/>
    <w:rsid w:val="002F77FC"/>
    <w:rsid w:val="00345096"/>
    <w:rsid w:val="00371377"/>
    <w:rsid w:val="00380F59"/>
    <w:rsid w:val="00396D44"/>
    <w:rsid w:val="003E7586"/>
    <w:rsid w:val="003F4130"/>
    <w:rsid w:val="004167F4"/>
    <w:rsid w:val="00421888"/>
    <w:rsid w:val="00454338"/>
    <w:rsid w:val="00487BC1"/>
    <w:rsid w:val="00531BD1"/>
    <w:rsid w:val="00566C93"/>
    <w:rsid w:val="00631BCE"/>
    <w:rsid w:val="006A0BFE"/>
    <w:rsid w:val="0071652F"/>
    <w:rsid w:val="00745E92"/>
    <w:rsid w:val="007939DD"/>
    <w:rsid w:val="008208B6"/>
    <w:rsid w:val="00863565"/>
    <w:rsid w:val="008B1BF1"/>
    <w:rsid w:val="008F05BC"/>
    <w:rsid w:val="00950011"/>
    <w:rsid w:val="009807C5"/>
    <w:rsid w:val="009824E1"/>
    <w:rsid w:val="0099150D"/>
    <w:rsid w:val="00996955"/>
    <w:rsid w:val="009A1665"/>
    <w:rsid w:val="009D54C7"/>
    <w:rsid w:val="009D7E7F"/>
    <w:rsid w:val="00A31EB3"/>
    <w:rsid w:val="00A6299F"/>
    <w:rsid w:val="00A85A8F"/>
    <w:rsid w:val="00AD7A1F"/>
    <w:rsid w:val="00B022F0"/>
    <w:rsid w:val="00B375DB"/>
    <w:rsid w:val="00B941D8"/>
    <w:rsid w:val="00BB4909"/>
    <w:rsid w:val="00BF6B0B"/>
    <w:rsid w:val="00C8126D"/>
    <w:rsid w:val="00C8289E"/>
    <w:rsid w:val="00CE5024"/>
    <w:rsid w:val="00D006C4"/>
    <w:rsid w:val="00D12F65"/>
    <w:rsid w:val="00D52B80"/>
    <w:rsid w:val="00DA5608"/>
    <w:rsid w:val="00DD7D5A"/>
    <w:rsid w:val="00DE0B7D"/>
    <w:rsid w:val="00E334F0"/>
    <w:rsid w:val="00E530D0"/>
    <w:rsid w:val="00E630C8"/>
    <w:rsid w:val="00E81FC7"/>
    <w:rsid w:val="00E913AD"/>
    <w:rsid w:val="00EA5C54"/>
    <w:rsid w:val="00EF0A9C"/>
    <w:rsid w:val="00EF29FD"/>
    <w:rsid w:val="00F10477"/>
    <w:rsid w:val="00F33160"/>
    <w:rsid w:val="00F436B2"/>
    <w:rsid w:val="00F54B05"/>
    <w:rsid w:val="00F56775"/>
    <w:rsid w:val="00F71A97"/>
    <w:rsid w:val="00F842B6"/>
    <w:rsid w:val="00FC26E4"/>
    <w:rsid w:val="01AA1B76"/>
    <w:rsid w:val="02691984"/>
    <w:rsid w:val="03550BFE"/>
    <w:rsid w:val="040E2881"/>
    <w:rsid w:val="06F1603D"/>
    <w:rsid w:val="077C3086"/>
    <w:rsid w:val="07CF6683"/>
    <w:rsid w:val="08FF1D4E"/>
    <w:rsid w:val="09C20CD4"/>
    <w:rsid w:val="0A5573E3"/>
    <w:rsid w:val="0A7C212E"/>
    <w:rsid w:val="0B6D14B7"/>
    <w:rsid w:val="0CE942B7"/>
    <w:rsid w:val="0D4545B5"/>
    <w:rsid w:val="0D5F3A7D"/>
    <w:rsid w:val="0DA11C36"/>
    <w:rsid w:val="11E572EB"/>
    <w:rsid w:val="147A1112"/>
    <w:rsid w:val="161C585F"/>
    <w:rsid w:val="162E250C"/>
    <w:rsid w:val="171A2A55"/>
    <w:rsid w:val="17D75D24"/>
    <w:rsid w:val="18326D5D"/>
    <w:rsid w:val="195535DF"/>
    <w:rsid w:val="19BD63E6"/>
    <w:rsid w:val="19CB339C"/>
    <w:rsid w:val="1D3F18A2"/>
    <w:rsid w:val="1E606EF0"/>
    <w:rsid w:val="1E9437AE"/>
    <w:rsid w:val="1ED92E2D"/>
    <w:rsid w:val="1F2A662A"/>
    <w:rsid w:val="20836690"/>
    <w:rsid w:val="20E406FC"/>
    <w:rsid w:val="2156336B"/>
    <w:rsid w:val="21C3288F"/>
    <w:rsid w:val="22610E50"/>
    <w:rsid w:val="22A21F73"/>
    <w:rsid w:val="22AF5EBF"/>
    <w:rsid w:val="22B64D2E"/>
    <w:rsid w:val="233667EF"/>
    <w:rsid w:val="265E70F3"/>
    <w:rsid w:val="26FA244B"/>
    <w:rsid w:val="26FC6BB6"/>
    <w:rsid w:val="27358AFB"/>
    <w:rsid w:val="27E736B9"/>
    <w:rsid w:val="280265C2"/>
    <w:rsid w:val="286345FC"/>
    <w:rsid w:val="28B735F1"/>
    <w:rsid w:val="28CC03F4"/>
    <w:rsid w:val="2B3B7D75"/>
    <w:rsid w:val="2C171AB1"/>
    <w:rsid w:val="2CAE7E10"/>
    <w:rsid w:val="2CD656D8"/>
    <w:rsid w:val="2CFF6A94"/>
    <w:rsid w:val="2D5A2BCE"/>
    <w:rsid w:val="2D9E3091"/>
    <w:rsid w:val="2DBC7C44"/>
    <w:rsid w:val="2F44136D"/>
    <w:rsid w:val="2FEF2C1A"/>
    <w:rsid w:val="30241BDC"/>
    <w:rsid w:val="30262E18"/>
    <w:rsid w:val="3095731D"/>
    <w:rsid w:val="316A2E22"/>
    <w:rsid w:val="32622092"/>
    <w:rsid w:val="32CE4FCF"/>
    <w:rsid w:val="33571989"/>
    <w:rsid w:val="33633703"/>
    <w:rsid w:val="33FC1F5A"/>
    <w:rsid w:val="347722F2"/>
    <w:rsid w:val="347F2CE0"/>
    <w:rsid w:val="34A02995"/>
    <w:rsid w:val="35533D0B"/>
    <w:rsid w:val="357D7D64"/>
    <w:rsid w:val="35DF103A"/>
    <w:rsid w:val="3651018A"/>
    <w:rsid w:val="36C51F7A"/>
    <w:rsid w:val="375F19FD"/>
    <w:rsid w:val="37BF32B3"/>
    <w:rsid w:val="37EB048C"/>
    <w:rsid w:val="385C19AE"/>
    <w:rsid w:val="3982447C"/>
    <w:rsid w:val="399D5FE8"/>
    <w:rsid w:val="3B0D5BF6"/>
    <w:rsid w:val="3B660234"/>
    <w:rsid w:val="3BCD6D51"/>
    <w:rsid w:val="3D2E17ED"/>
    <w:rsid w:val="3DFF6B61"/>
    <w:rsid w:val="3E015AA4"/>
    <w:rsid w:val="3ED5EC67"/>
    <w:rsid w:val="3EFBB4E9"/>
    <w:rsid w:val="3EFF249B"/>
    <w:rsid w:val="3F9A2934"/>
    <w:rsid w:val="3FC55010"/>
    <w:rsid w:val="3FD14EC6"/>
    <w:rsid w:val="40A9471F"/>
    <w:rsid w:val="41116DDD"/>
    <w:rsid w:val="42382433"/>
    <w:rsid w:val="445A69E2"/>
    <w:rsid w:val="44811733"/>
    <w:rsid w:val="44A333BF"/>
    <w:rsid w:val="44EE68C2"/>
    <w:rsid w:val="44FB2731"/>
    <w:rsid w:val="45915881"/>
    <w:rsid w:val="45D27CD9"/>
    <w:rsid w:val="46297502"/>
    <w:rsid w:val="46534CE5"/>
    <w:rsid w:val="46BF2397"/>
    <w:rsid w:val="47693F8F"/>
    <w:rsid w:val="48314946"/>
    <w:rsid w:val="4A4221D9"/>
    <w:rsid w:val="4AE43C50"/>
    <w:rsid w:val="4B106CD2"/>
    <w:rsid w:val="4B956C94"/>
    <w:rsid w:val="4BFD9CF0"/>
    <w:rsid w:val="4C352FEA"/>
    <w:rsid w:val="4D005CA5"/>
    <w:rsid w:val="4D855597"/>
    <w:rsid w:val="4DFFF697"/>
    <w:rsid w:val="4E3F66C2"/>
    <w:rsid w:val="4EC837AE"/>
    <w:rsid w:val="4F7FF76E"/>
    <w:rsid w:val="5184720E"/>
    <w:rsid w:val="52683711"/>
    <w:rsid w:val="528C27BF"/>
    <w:rsid w:val="53ED7747"/>
    <w:rsid w:val="55BD7AA0"/>
    <w:rsid w:val="55C20EA5"/>
    <w:rsid w:val="56AF49D1"/>
    <w:rsid w:val="58704048"/>
    <w:rsid w:val="59465D4C"/>
    <w:rsid w:val="59EC4DD6"/>
    <w:rsid w:val="59F83A4A"/>
    <w:rsid w:val="5ABC54F2"/>
    <w:rsid w:val="5AC3177F"/>
    <w:rsid w:val="5D0F3DCC"/>
    <w:rsid w:val="5D775A82"/>
    <w:rsid w:val="5DFF1669"/>
    <w:rsid w:val="5E257683"/>
    <w:rsid w:val="5E604728"/>
    <w:rsid w:val="5F0E3CB8"/>
    <w:rsid w:val="60885CA7"/>
    <w:rsid w:val="61C254B7"/>
    <w:rsid w:val="61F10051"/>
    <w:rsid w:val="61FA1823"/>
    <w:rsid w:val="628A6975"/>
    <w:rsid w:val="62922D24"/>
    <w:rsid w:val="640F6E0B"/>
    <w:rsid w:val="65EF76D2"/>
    <w:rsid w:val="65FEDA44"/>
    <w:rsid w:val="65FF7AC3"/>
    <w:rsid w:val="662611AC"/>
    <w:rsid w:val="675F70AE"/>
    <w:rsid w:val="6A1D01E4"/>
    <w:rsid w:val="6B08141A"/>
    <w:rsid w:val="6B720AE3"/>
    <w:rsid w:val="6E0A324A"/>
    <w:rsid w:val="6E4D6C01"/>
    <w:rsid w:val="6F765C07"/>
    <w:rsid w:val="6F7A5DB8"/>
    <w:rsid w:val="6FC748FD"/>
    <w:rsid w:val="6FF75B98"/>
    <w:rsid w:val="70F780F5"/>
    <w:rsid w:val="715926C4"/>
    <w:rsid w:val="71875E4E"/>
    <w:rsid w:val="718F062F"/>
    <w:rsid w:val="71E03B95"/>
    <w:rsid w:val="727218EC"/>
    <w:rsid w:val="744A736E"/>
    <w:rsid w:val="75997222"/>
    <w:rsid w:val="75AC3D6F"/>
    <w:rsid w:val="75BE096A"/>
    <w:rsid w:val="7605103D"/>
    <w:rsid w:val="76AF4C49"/>
    <w:rsid w:val="773C481C"/>
    <w:rsid w:val="775E2E09"/>
    <w:rsid w:val="779668D7"/>
    <w:rsid w:val="79D7682F"/>
    <w:rsid w:val="79FE3012"/>
    <w:rsid w:val="7A1A213E"/>
    <w:rsid w:val="7BBE0664"/>
    <w:rsid w:val="7CC077EE"/>
    <w:rsid w:val="7CDB6472"/>
    <w:rsid w:val="7D247CD4"/>
    <w:rsid w:val="7D5659FB"/>
    <w:rsid w:val="7E6678D4"/>
    <w:rsid w:val="7E906943"/>
    <w:rsid w:val="7F567BAB"/>
    <w:rsid w:val="7F798CAF"/>
    <w:rsid w:val="7F7CF0BB"/>
    <w:rsid w:val="7F922865"/>
    <w:rsid w:val="7FDF98FC"/>
    <w:rsid w:val="953DB438"/>
    <w:rsid w:val="B9FFD619"/>
    <w:rsid w:val="BBE3FCA7"/>
    <w:rsid w:val="BF77F910"/>
    <w:rsid w:val="BFE75542"/>
    <w:rsid w:val="CB606E51"/>
    <w:rsid w:val="CDE62F74"/>
    <w:rsid w:val="D7DDBB15"/>
    <w:rsid w:val="D9EF5372"/>
    <w:rsid w:val="DB839824"/>
    <w:rsid w:val="E1FECF93"/>
    <w:rsid w:val="E7C91041"/>
    <w:rsid w:val="E7FB8941"/>
    <w:rsid w:val="EBFF7B62"/>
    <w:rsid w:val="EDFF55FE"/>
    <w:rsid w:val="EEF43F6C"/>
    <w:rsid w:val="EFA220A9"/>
    <w:rsid w:val="F73D0710"/>
    <w:rsid w:val="F9FFCD0D"/>
    <w:rsid w:val="FB812BAF"/>
    <w:rsid w:val="FBFF8BBD"/>
    <w:rsid w:val="FEF50D95"/>
    <w:rsid w:val="FF7719C7"/>
    <w:rsid w:val="FFEF774F"/>
    <w:rsid w:val="FFFD374C"/>
    <w:rsid w:val="FFFF6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outlineLvl w:val="0"/>
    </w:pPr>
    <w:rPr>
      <w:rFonts w:eastAsia="黑体"/>
      <w:kern w:val="44"/>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Emphasis"/>
    <w:basedOn w:val="6"/>
    <w:qFormat/>
    <w:uiPriority w:val="0"/>
    <w:rPr>
      <w:i/>
    </w:rPr>
  </w:style>
  <w:style w:type="character" w:customStyle="1" w:styleId="9">
    <w:name w:val="页脚 Char"/>
    <w:basedOn w:val="6"/>
    <w:link w:val="3"/>
    <w:qFormat/>
    <w:uiPriority w:val="0"/>
    <w:rPr>
      <w:kern w:val="2"/>
      <w:sz w:val="18"/>
      <w:szCs w:val="18"/>
    </w:rPr>
  </w:style>
  <w:style w:type="character" w:customStyle="1" w:styleId="10">
    <w:name w:val="页眉 Char"/>
    <w:basedOn w:val="6"/>
    <w:link w:val="4"/>
    <w:qFormat/>
    <w:uiPriority w:val="0"/>
    <w:rPr>
      <w:kern w:val="2"/>
      <w:sz w:val="18"/>
      <w:szCs w:val="18"/>
    </w:rPr>
  </w:style>
  <w:style w:type="paragraph" w:customStyle="1" w:styleId="11">
    <w:name w:val="中文报告书样式"/>
    <w:basedOn w:val="1"/>
    <w:qFormat/>
    <w:uiPriority w:val="0"/>
    <w:pPr>
      <w:adjustRightInd w:val="0"/>
      <w:spacing w:line="420" w:lineRule="atLeast"/>
      <w:jc w:val="left"/>
      <w:textAlignment w:val="baseline"/>
    </w:pPr>
    <w:rPr>
      <w:kern w:val="24"/>
      <w:sz w:val="24"/>
      <w:szCs w:val="20"/>
    </w:rPr>
  </w:style>
  <w:style w:type="paragraph" w:customStyle="1" w:styleId="12">
    <w:name w:val="环评正文"/>
    <w:basedOn w:val="1"/>
    <w:qFormat/>
    <w:uiPriority w:val="0"/>
    <w:pPr>
      <w:adjustRightInd w:val="0"/>
      <w:snapToGrid w:val="0"/>
      <w:spacing w:line="360" w:lineRule="auto"/>
      <w:ind w:firstLine="420" w:firstLineChars="200"/>
      <w:jc w:val="left"/>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969</Words>
  <Characters>1105</Characters>
  <Lines>1</Lines>
  <Paragraphs>1</Paragraphs>
  <TotalTime>9</TotalTime>
  <ScaleCrop>false</ScaleCrop>
  <LinksUpToDate>false</LinksUpToDate>
  <CharactersWithSpaces>1158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2014-05-27T17:22:00Z</dcterms:created>
  <dc:creator>张明蕾</dc:creator>
  <cp:lastModifiedBy>dell</cp:lastModifiedBy>
  <cp:lastPrinted>2023-07-09T00:58:00Z</cp:lastPrinted>
  <dcterms:modified xsi:type="dcterms:W3CDTF">2025-12-04T06:29:05Z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B965D95B3574471194E85E65444AC898_13</vt:lpwstr>
  </property>
  <property fmtid="{D5CDD505-2E9C-101B-9397-08002B2CF9AE}" pid="4" name="KSOTemplateDocerSaveRecord">
    <vt:lpwstr>eyJoZGlkIjoiMzEwNTM5NzYwMDRjMzkwZTVkZjY2ODkwMGIxNGU0OTUiLCJ1c2VySWQiOiIxMDY0NjQ1MTUyIn0=</vt:lpwstr>
  </property>
</Properties>
</file>