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1B3A">
      <w:pPr>
        <w:rPr>
          <w:rFonts w:ascii="仿宋_GB2312" w:eastAsia="仿宋_GB2312"/>
          <w:sz w:val="32"/>
          <w:szCs w:val="32"/>
        </w:rPr>
      </w:pPr>
    </w:p>
    <w:p w14:paraId="716A308A">
      <w:pPr>
        <w:rPr>
          <w:rFonts w:hint="eastAsia" w:ascii="仿宋_GB2312" w:eastAsia="仿宋_GB2312"/>
          <w:sz w:val="32"/>
          <w:szCs w:val="32"/>
          <w:highlight w:val="yellow"/>
          <w:lang w:val="en-US" w:eastAsia="zh-CN"/>
        </w:rPr>
      </w:pPr>
    </w:p>
    <w:p w14:paraId="0EB2F071">
      <w:pPr>
        <w:rPr>
          <w:rFonts w:ascii="仿宋_GB2312" w:eastAsia="仿宋_GB2312"/>
          <w:sz w:val="32"/>
          <w:szCs w:val="32"/>
        </w:rPr>
      </w:pPr>
    </w:p>
    <w:p w14:paraId="1DB12E26">
      <w:pPr>
        <w:spacing w:line="360" w:lineRule="auto"/>
        <w:jc w:val="center"/>
        <w:rPr>
          <w:rFonts w:ascii="仿宋_GB2312" w:eastAsia="仿宋_GB2312"/>
          <w:sz w:val="32"/>
          <w:szCs w:val="32"/>
        </w:rPr>
      </w:pPr>
    </w:p>
    <w:p w14:paraId="452FD2EE">
      <w:pPr>
        <w:jc w:val="center"/>
        <w:rPr>
          <w:rFonts w:hint="default" w:ascii="Times New Roman" w:hAnsi="Times New Roman" w:eastAsia="仿宋_GB2312" w:cs="Times New Roman"/>
          <w:sz w:val="32"/>
          <w:szCs w:val="32"/>
        </w:rPr>
      </w:pPr>
    </w:p>
    <w:p w14:paraId="548D2472">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275</w:t>
      </w:r>
      <w:r>
        <w:rPr>
          <w:rFonts w:hint="default" w:ascii="Times New Roman" w:hAnsi="Times New Roman" w:eastAsia="仿宋_GB2312" w:cs="Times New Roman"/>
          <w:sz w:val="32"/>
          <w:szCs w:val="32"/>
        </w:rPr>
        <w:t>号</w:t>
      </w:r>
    </w:p>
    <w:p w14:paraId="4C2653E2">
      <w:pPr>
        <w:rPr>
          <w:rFonts w:ascii="仿宋_GB2312" w:eastAsia="仿宋_GB2312"/>
          <w:sz w:val="32"/>
          <w:szCs w:val="32"/>
        </w:rPr>
      </w:pPr>
      <w:bookmarkStart w:id="0" w:name="_GoBack"/>
      <w:bookmarkEnd w:id="0"/>
    </w:p>
    <w:p w14:paraId="049257DD">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（项目代码：250</w:t>
      </w: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-120116-89-01-</w:t>
      </w:r>
      <w:r>
        <w:rPr>
          <w:rFonts w:hint="eastAsia" w:eastAsia="仿宋_GB2312" w:cs="Times New Roman"/>
          <w:kern w:val="2"/>
          <w:sz w:val="32"/>
          <w:szCs w:val="32"/>
          <w:lang w:val="en-US" w:eastAsia="zh-CN" w:bidi="ar-SA"/>
        </w:rPr>
        <w:t>935380</w:t>
      </w:r>
      <w:r>
        <w:rPr>
          <w:rFonts w:hint="eastAsia" w:ascii="Times New Roman" w:hAnsi="Times New Roman" w:eastAsia="仿宋_GB2312" w:cs="Times New Roman"/>
          <w:kern w:val="2"/>
          <w:sz w:val="32"/>
          <w:szCs w:val="32"/>
          <w:lang w:val="en-US" w:eastAsia="zh-CN" w:bidi="ar-SA"/>
        </w:rPr>
        <w:t>）</w:t>
      </w:r>
    </w:p>
    <w:p w14:paraId="0905259F">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535AA0A4">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关于天津</w:t>
      </w:r>
      <w:r>
        <w:rPr>
          <w:rFonts w:hint="eastAsia" w:ascii="方正小标宋简体" w:hAnsi="宋体" w:eastAsia="方正小标宋简体"/>
          <w:color w:val="000000"/>
          <w:sz w:val="44"/>
          <w:lang w:val="en-US" w:eastAsia="zh-CN"/>
        </w:rPr>
        <w:t>滨海米兰~万年桥220千伏</w:t>
      </w:r>
    </w:p>
    <w:p w14:paraId="330B9710">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线路工程</w:t>
      </w:r>
      <w:r>
        <w:rPr>
          <w:rFonts w:hint="eastAsia" w:ascii="方正小标宋简体" w:hAnsi="宋体" w:eastAsia="方正小标宋简体"/>
          <w:color w:val="000000"/>
          <w:sz w:val="44"/>
        </w:rPr>
        <w:t>环境影响报告表的批复</w:t>
      </w:r>
    </w:p>
    <w:p w14:paraId="669780F6">
      <w:pPr>
        <w:spacing w:line="0" w:lineRule="atLeast"/>
        <w:jc w:val="center"/>
        <w:rPr>
          <w:rFonts w:ascii="宋体" w:hAnsi="宋体"/>
          <w:b/>
          <w:color w:val="000000"/>
          <w:sz w:val="44"/>
        </w:rPr>
      </w:pPr>
    </w:p>
    <w:p w14:paraId="11EF8D4B">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国网天津市电力公司建设分公司：</w:t>
      </w:r>
    </w:p>
    <w:p w14:paraId="24D5B6ED">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天津创水环科技发展有限</w:t>
      </w:r>
      <w:r>
        <w:rPr>
          <w:rFonts w:hint="eastAsia" w:eastAsia="仿宋_GB2312"/>
          <w:bCs/>
          <w:sz w:val="32"/>
          <w:szCs w:val="32"/>
          <w:lang w:eastAsia="zh-CN"/>
        </w:rPr>
        <w:t>公司</w:t>
      </w:r>
      <w:r>
        <w:rPr>
          <w:rFonts w:hint="eastAsia" w:eastAsia="仿宋_GB2312"/>
          <w:bCs/>
          <w:sz w:val="32"/>
          <w:szCs w:val="32"/>
          <w:lang w:val="en-US" w:eastAsia="zh-CN"/>
        </w:rPr>
        <w:t>编制的</w:t>
      </w:r>
      <w:r>
        <w:rPr>
          <w:rFonts w:hint="default" w:eastAsia="仿宋_GB2312"/>
          <w:bCs/>
          <w:sz w:val="32"/>
          <w:szCs w:val="32"/>
          <w:lang w:val="en-US" w:eastAsia="zh-CN"/>
        </w:rPr>
        <w:t>《天津滨海米兰~万年桥220千伏线路工程</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0A90A6B1">
      <w:pPr>
        <w:pStyle w:val="12"/>
        <w:rPr>
          <w:rFonts w:hint="eastAsia" w:eastAsia="仿宋_GB2312" w:cs="Times New Roman"/>
          <w:sz w:val="32"/>
          <w:szCs w:val="32"/>
          <w:lang w:val="en-US"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优化网络结构、提升供电可靠性</w:t>
      </w:r>
      <w:r>
        <w:rPr>
          <w:rFonts w:hint="eastAsia" w:eastAsia="仿宋_GB2312" w:cs="Times New Roman"/>
          <w:color w:val="auto"/>
          <w:sz w:val="32"/>
          <w:szCs w:val="32"/>
          <w:lang w:val="en-US" w:eastAsia="zh-CN"/>
        </w:rPr>
        <w:t>，</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w:t>
      </w:r>
      <w:r>
        <w:rPr>
          <w:rFonts w:hint="eastAsia" w:eastAsia="仿宋_GB2312"/>
          <w:bCs/>
          <w:sz w:val="32"/>
          <w:szCs w:val="32"/>
          <w:lang w:eastAsia="zh-CN"/>
        </w:rPr>
        <w:t>建设</w:t>
      </w:r>
      <w:r>
        <w:rPr>
          <w:rFonts w:hint="default" w:eastAsia="仿宋_GB2312"/>
          <w:bCs/>
          <w:sz w:val="32"/>
          <w:szCs w:val="32"/>
          <w:lang w:val="en-US" w:eastAsia="zh-CN"/>
        </w:rPr>
        <w:t>天津滨海米兰~万年桥220千伏线路</w:t>
      </w:r>
      <w:r>
        <w:rPr>
          <w:rFonts w:hint="eastAsia" w:eastAsia="仿宋_GB2312"/>
          <w:bCs/>
          <w:sz w:val="32"/>
          <w:szCs w:val="32"/>
          <w:lang w:val="en-US" w:eastAsia="zh-CN"/>
        </w:rPr>
        <w:t>工程</w:t>
      </w:r>
      <w:r>
        <w:rPr>
          <w:rFonts w:hint="eastAsia" w:eastAsia="仿宋_GB2312" w:cs="Times New Roman"/>
          <w:sz w:val="32"/>
          <w:szCs w:val="32"/>
          <w:lang w:val="en" w:eastAsia="zh-CN"/>
        </w:rPr>
        <w:t>（以下简称“工程”）。</w:t>
      </w:r>
      <w:r>
        <w:rPr>
          <w:rFonts w:hint="eastAsia" w:eastAsia="仿宋_GB2312" w:cs="Times New Roman"/>
          <w:sz w:val="32"/>
          <w:szCs w:val="32"/>
          <w:lang w:val="en-US" w:eastAsia="zh-CN"/>
        </w:rPr>
        <w:t>工程新建米兰220千伏变电站至万年桥220千伏变电站两回220千伏线路，出米兰站向南沿东江路后向西沿京津塘高速辅路至新河干渠向南依次跨过京津塘高速公路、津滨高速，后跨过海河继续向南沿疏港联络线、津沽公路接入万年桥站。路径总长25.217公里，其中新建线路长度12.917公里（新建双回架空线路3.97公里，新建双回电缆8.947公里），改造现状线路12.3公里。同时完善米兰220千伏变电站、万年桥220千伏变电站间隔的一次、二次部分，米兰站新增4台油浸式电抗器。</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61311</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615</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7C42857F">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日，我局将该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25</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w:t>
      </w:r>
      <w:r>
        <w:rPr>
          <w:rFonts w:hint="default" w:eastAsia="仿宋_GB2312" w:cs="Times New Roman"/>
          <w:sz w:val="32"/>
          <w:szCs w:val="32"/>
          <w:lang w:val="en" w:eastAsia="zh-CN"/>
        </w:rPr>
        <w:t>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w:t>
      </w:r>
      <w:r>
        <w:rPr>
          <w:rFonts w:hint="eastAsia" w:eastAsia="仿宋_GB2312"/>
          <w:bCs/>
          <w:sz w:val="32"/>
          <w:szCs w:val="32"/>
          <w:lang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2FE06B5A">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工程</w:t>
      </w:r>
      <w:r>
        <w:rPr>
          <w:rFonts w:hint="default" w:ascii="Times New Roman" w:hAnsi="Times New Roman" w:eastAsia="仿宋_GB2312" w:cs="Times New Roman"/>
          <w:sz w:val="32"/>
          <w:szCs w:val="32"/>
        </w:rPr>
        <w:t>建设和运营期间，你公司应重点做好以下工作：</w:t>
      </w:r>
    </w:p>
    <w:p w14:paraId="450263A1">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39CAF9CC">
      <w:pPr>
        <w:pStyle w:val="12"/>
        <w:numPr>
          <w:ilvl w:val="0"/>
          <w:numId w:val="0"/>
        </w:numPr>
        <w:ind w:firstLine="640" w:firstLineChars="200"/>
        <w:rPr>
          <w:rFonts w:hint="eastAsia" w:eastAsia="仿宋_GB2312"/>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w:t>
      </w:r>
      <w:r>
        <w:rPr>
          <w:rFonts w:hint="eastAsia" w:ascii="Times New Roman" w:hAnsi="Times New Roman" w:eastAsia="仿宋_GB2312" w:cs="Times New Roman"/>
          <w:sz w:val="32"/>
          <w:szCs w:val="32"/>
          <w:lang w:val="en-US" w:eastAsia="zh-CN"/>
        </w:rPr>
        <w:t>恢复</w:t>
      </w:r>
      <w:r>
        <w:rPr>
          <w:rFonts w:hint="eastAsia" w:eastAsia="仿宋_GB2312"/>
          <w:sz w:val="32"/>
          <w:szCs w:val="32"/>
          <w:lang w:val="en-US" w:eastAsia="zh-CN"/>
        </w:rPr>
        <w:t>。</w:t>
      </w:r>
    </w:p>
    <w:p w14:paraId="6BCFEE5C">
      <w:pPr>
        <w:pStyle w:val="12"/>
        <w:numPr>
          <w:ilvl w:val="0"/>
          <w:numId w:val="0"/>
        </w:numPr>
        <w:ind w:firstLine="640" w:firstLineChars="200"/>
        <w:rPr>
          <w:rFonts w:hint="eastAsia" w:eastAsia="仿宋_GB2312"/>
          <w:sz w:val="32"/>
          <w:szCs w:val="32"/>
          <w:lang w:val="en-US" w:eastAsia="zh-CN"/>
        </w:rPr>
      </w:pPr>
      <w:r>
        <w:rPr>
          <w:rFonts w:hint="eastAsia" w:eastAsia="仿宋_GB2312"/>
          <w:sz w:val="32"/>
          <w:szCs w:val="32"/>
          <w:lang w:val="en-US" w:eastAsia="zh-CN"/>
        </w:rPr>
        <w:t>3.施工架空线路穿越海河和大沽排水河时，合理安排施工工期，避开汛期作业。采用空中作业技术减少地面扰动，施工材料远离河床，废弃物分类清运。合理布局施工场地，优化施工工艺，不得向水体排放废水和固体废物，最大限度减少对地表水体的影响。</w:t>
      </w:r>
    </w:p>
    <w:p w14:paraId="40B677BC">
      <w:pPr>
        <w:pStyle w:val="12"/>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4.油浸式电抗器维护、更换或发生事故时产生的废绝缘油等危险废物，交由有资质单位处置，不在现场存放，做到“即产即清”。</w:t>
      </w:r>
    </w:p>
    <w:p w14:paraId="65F0A43F">
      <w:pPr>
        <w:pStyle w:val="12"/>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5.</w:t>
      </w:r>
      <w:r>
        <w:rPr>
          <w:rFonts w:hint="default" w:eastAsia="仿宋_GB2312"/>
          <w:sz w:val="32"/>
          <w:szCs w:val="32"/>
          <w:lang w:val="en-US" w:eastAsia="zh-CN"/>
        </w:rPr>
        <w:t>严格落实控制工频电场、工频磁场的各项环境保护措施，确保输电线路沿线的工频电场强度、工频磁感应强度符合《电磁环境控制限值》限值要求。</w:t>
      </w:r>
    </w:p>
    <w:p w14:paraId="541AF00A">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无新增</w:t>
      </w:r>
      <w:r>
        <w:rPr>
          <w:rFonts w:hint="eastAsia" w:eastAsia="仿宋_GB2312" w:cs="Times New Roman"/>
          <w:sz w:val="32"/>
          <w:szCs w:val="32"/>
          <w:lang w:eastAsia="zh-CN"/>
        </w:rPr>
        <w:t>重点</w:t>
      </w:r>
      <w:r>
        <w:rPr>
          <w:rFonts w:hint="default" w:ascii="Times New Roman" w:hAnsi="Times New Roman" w:eastAsia="仿宋_GB2312" w:cs="Times New Roman"/>
          <w:sz w:val="32"/>
          <w:szCs w:val="32"/>
        </w:rPr>
        <w:t>污染物排放总量。</w:t>
      </w:r>
    </w:p>
    <w:p w14:paraId="2A810940">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706D8932">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应执行以下标准：</w:t>
      </w:r>
    </w:p>
    <w:p w14:paraId="3F621238">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6A1EF241">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《声环境质量标准》（GB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3096-2008）</w:t>
      </w:r>
      <w:r>
        <w:rPr>
          <w:rFonts w:hint="eastAsia" w:eastAsia="仿宋_GB2312" w:cs="Times New Roman"/>
          <w:sz w:val="32"/>
          <w:szCs w:val="32"/>
          <w:lang w:val="en-US" w:eastAsia="zh-CN"/>
        </w:rPr>
        <w:t>2类、3类、4a类、4b类</w:t>
      </w:r>
      <w:r>
        <w:rPr>
          <w:rFonts w:hint="eastAsia" w:eastAsia="仿宋_GB2312" w:cs="Times New Roman"/>
          <w:sz w:val="32"/>
          <w:szCs w:val="32"/>
          <w:lang w:eastAsia="zh-CN"/>
        </w:rPr>
        <w:t>；</w:t>
      </w:r>
    </w:p>
    <w:p w14:paraId="01AF6DF0">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6AB59B9C">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《电磁环境控制限值》（GB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8702-2014）</w:t>
      </w:r>
      <w:r>
        <w:rPr>
          <w:rFonts w:hint="eastAsia" w:ascii="Times New Roman" w:hAnsi="Times New Roman" w:eastAsia="仿宋_GB2312" w:cs="Times New Roman"/>
          <w:sz w:val="32"/>
          <w:szCs w:val="32"/>
          <w:lang w:eastAsia="zh-CN"/>
        </w:rPr>
        <w:t>。</w:t>
      </w:r>
    </w:p>
    <w:p w14:paraId="0A168260">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《危险废物贮存污染控制标准》（</w:t>
      </w:r>
      <w:r>
        <w:rPr>
          <w:rFonts w:hint="eastAsia" w:ascii="Times New Roman" w:hAnsi="Times New Roman" w:eastAsia="仿宋_GB2312" w:cs="Times New Roman"/>
          <w:sz w:val="32"/>
          <w:szCs w:val="32"/>
          <w:lang w:val="en-US" w:eastAsia="zh-CN"/>
        </w:rPr>
        <w:t>GB 18597-2023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B3B849B">
      <w:pPr>
        <w:pStyle w:val="12"/>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《危险废物收集 贮存 运输技术规范》（HJ 2025-2012）。</w:t>
      </w:r>
    </w:p>
    <w:p w14:paraId="4B866C34">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029F785A">
      <w:pPr>
        <w:rPr>
          <w:rFonts w:hint="default"/>
        </w:rPr>
      </w:pPr>
    </w:p>
    <w:p w14:paraId="6AB8A73D">
      <w:pPr>
        <w:pStyle w:val="2"/>
        <w:rPr>
          <w:rFonts w:hint="default"/>
        </w:rPr>
      </w:pPr>
    </w:p>
    <w:p w14:paraId="2F596C96">
      <w:pPr>
        <w:rPr>
          <w:rFonts w:hint="default"/>
        </w:rPr>
      </w:pPr>
    </w:p>
    <w:p w14:paraId="5A7D90AF">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2025年1</w:t>
      </w:r>
      <w:r>
        <w:rPr>
          <w:rFonts w:hint="default" w:eastAsia="仿宋_GB2312"/>
          <w:sz w:val="32"/>
          <w:lang w:val="en" w:eastAsia="zh-CN"/>
        </w:rPr>
        <w:t>2</w:t>
      </w:r>
      <w:r>
        <w:rPr>
          <w:rFonts w:hint="eastAsia" w:eastAsia="仿宋_GB2312"/>
          <w:sz w:val="32"/>
          <w:lang w:val="en-US" w:eastAsia="zh-CN"/>
        </w:rPr>
        <w:t>月</w:t>
      </w:r>
      <w:r>
        <w:rPr>
          <w:rFonts w:hint="default" w:eastAsia="仿宋_GB2312"/>
          <w:sz w:val="32"/>
          <w:lang w:val="en" w:eastAsia="zh-CN"/>
        </w:rPr>
        <w:t>2</w:t>
      </w:r>
      <w:r>
        <w:rPr>
          <w:rFonts w:hint="eastAsia" w:eastAsia="仿宋_GB2312"/>
          <w:sz w:val="32"/>
          <w:lang w:val="en-US" w:eastAsia="zh-CN"/>
        </w:rPr>
        <w:t xml:space="preserve">日  </w:t>
      </w:r>
    </w:p>
    <w:p w14:paraId="6F8DFDF1">
      <w:pPr>
        <w:pStyle w:val="2"/>
        <w:rPr>
          <w:rFonts w:hint="eastAsia" w:eastAsia="仿宋_GB2312"/>
          <w:sz w:val="32"/>
          <w:lang w:val="en-US" w:eastAsia="zh-CN"/>
        </w:rPr>
      </w:pPr>
    </w:p>
    <w:p w14:paraId="5C6D484C">
      <w:pPr>
        <w:rPr>
          <w:rFonts w:hint="eastAsia" w:eastAsia="仿宋_GB2312"/>
          <w:sz w:val="32"/>
          <w:lang w:val="en-US" w:eastAsia="zh-CN"/>
        </w:rPr>
      </w:pPr>
    </w:p>
    <w:p w14:paraId="2BA0FCD3">
      <w:pPr>
        <w:pStyle w:val="2"/>
        <w:rPr>
          <w:rFonts w:hint="eastAsia"/>
          <w:lang w:val="en-US" w:eastAsia="zh-CN"/>
        </w:rPr>
      </w:pPr>
    </w:p>
    <w:p w14:paraId="3F8E8783">
      <w:pPr>
        <w:rPr>
          <w:rFonts w:hint="eastAsia"/>
          <w:lang w:val="en-US" w:eastAsia="zh-CN"/>
        </w:rPr>
      </w:pPr>
    </w:p>
    <w:p w14:paraId="6A1C4205">
      <w:pPr>
        <w:rPr>
          <w:rFonts w:hint="eastAsia"/>
          <w:lang w:val="en-US" w:eastAsia="zh-CN"/>
        </w:rPr>
      </w:pPr>
    </w:p>
    <w:p w14:paraId="4E2A1810">
      <w:pPr>
        <w:rPr>
          <w:rFonts w:hint="eastAsia"/>
          <w:lang w:val="en-US" w:eastAsia="zh-CN"/>
        </w:rPr>
      </w:pPr>
    </w:p>
    <w:p w14:paraId="6FE494D0">
      <w:pPr>
        <w:rPr>
          <w:rFonts w:hint="eastAsia"/>
          <w:lang w:val="en-US" w:eastAsia="zh-CN"/>
        </w:rPr>
      </w:pPr>
    </w:p>
    <w:p w14:paraId="2A3C1CF8">
      <w:pPr>
        <w:rPr>
          <w:rFonts w:hint="eastAsia"/>
          <w:lang w:val="en-US" w:eastAsia="zh-CN"/>
        </w:rPr>
      </w:pPr>
    </w:p>
    <w:p w14:paraId="5281548D">
      <w:pPr>
        <w:rPr>
          <w:rFonts w:hint="eastAsia"/>
          <w:lang w:val="en-US" w:eastAsia="zh-CN"/>
        </w:rPr>
      </w:pPr>
    </w:p>
    <w:p w14:paraId="153E310F">
      <w:pPr>
        <w:rPr>
          <w:rFonts w:hint="eastAsia"/>
          <w:lang w:val="en-US" w:eastAsia="zh-CN"/>
        </w:rPr>
      </w:pPr>
    </w:p>
    <w:p w14:paraId="687AE96B">
      <w:pPr>
        <w:rPr>
          <w:rFonts w:hint="eastAsia"/>
          <w:lang w:val="en-US" w:eastAsia="zh-CN"/>
        </w:rPr>
      </w:pPr>
    </w:p>
    <w:p w14:paraId="4166FCCF">
      <w:pPr>
        <w:rPr>
          <w:rFonts w:hint="eastAsia"/>
          <w:lang w:val="en-US" w:eastAsia="zh-CN"/>
        </w:rPr>
      </w:pPr>
    </w:p>
    <w:p w14:paraId="326302C9">
      <w:pPr>
        <w:rPr>
          <w:rFonts w:hint="eastAsia"/>
          <w:lang w:val="en-US" w:eastAsia="zh-CN"/>
        </w:rPr>
      </w:pPr>
    </w:p>
    <w:p w14:paraId="595D61A7">
      <w:pPr>
        <w:rPr>
          <w:rFonts w:hint="eastAsia"/>
          <w:lang w:val="en-US" w:eastAsia="zh-CN"/>
        </w:rPr>
      </w:pPr>
    </w:p>
    <w:p w14:paraId="4B8D0B82">
      <w:pPr>
        <w:rPr>
          <w:rFonts w:hint="eastAsia"/>
          <w:lang w:val="en-US" w:eastAsia="zh-CN"/>
        </w:rPr>
      </w:pPr>
    </w:p>
    <w:p w14:paraId="388C1826">
      <w:pPr>
        <w:rPr>
          <w:rFonts w:hint="eastAsia"/>
          <w:lang w:val="en-US" w:eastAsia="zh-CN"/>
        </w:rPr>
      </w:pPr>
    </w:p>
    <w:p w14:paraId="03BA16B5">
      <w:pPr>
        <w:rPr>
          <w:rFonts w:hint="eastAsia"/>
          <w:lang w:val="en-US" w:eastAsia="zh-CN"/>
        </w:rPr>
      </w:pPr>
    </w:p>
    <w:p w14:paraId="12B33C64">
      <w:pPr>
        <w:rPr>
          <w:rFonts w:hint="eastAsia"/>
          <w:lang w:val="en-US" w:eastAsia="zh-CN"/>
        </w:rPr>
      </w:pPr>
    </w:p>
    <w:p w14:paraId="7A08FB7E">
      <w:pPr>
        <w:rPr>
          <w:rFonts w:hint="eastAsia"/>
          <w:lang w:val="en-US" w:eastAsia="zh-CN"/>
        </w:rPr>
      </w:pPr>
    </w:p>
    <w:p w14:paraId="4FF9B83A">
      <w:pPr>
        <w:rPr>
          <w:rFonts w:hint="eastAsia"/>
          <w:lang w:val="en-US" w:eastAsia="zh-CN"/>
        </w:rPr>
      </w:pPr>
    </w:p>
    <w:p w14:paraId="251B89AE">
      <w:pPr>
        <w:rPr>
          <w:rFonts w:hint="eastAsia"/>
          <w:lang w:val="en-US" w:eastAsia="zh-CN"/>
        </w:rPr>
      </w:pPr>
    </w:p>
    <w:p w14:paraId="6C46F273">
      <w:pPr>
        <w:rPr>
          <w:rFonts w:hint="eastAsia"/>
          <w:lang w:val="en-US" w:eastAsia="zh-CN"/>
        </w:rPr>
      </w:pPr>
    </w:p>
    <w:p w14:paraId="58C6F859">
      <w:pPr>
        <w:rPr>
          <w:rFonts w:hint="eastAsia"/>
          <w:lang w:val="en-US" w:eastAsia="zh-CN"/>
        </w:rPr>
      </w:pPr>
    </w:p>
    <w:p w14:paraId="09897E59">
      <w:pPr>
        <w:rPr>
          <w:rFonts w:hint="eastAsia"/>
          <w:lang w:val="en-US" w:eastAsia="zh-CN"/>
        </w:rPr>
      </w:pPr>
    </w:p>
    <w:p w14:paraId="4590F38F">
      <w:pPr>
        <w:pStyle w:val="2"/>
        <w:wordWrap/>
        <w:rPr>
          <w:rFonts w:hint="eastAsia"/>
          <w:sz w:val="15"/>
          <w:szCs w:val="15"/>
          <w:lang w:val="en-US" w:eastAsia="zh-CN"/>
        </w:rPr>
      </w:pPr>
    </w:p>
    <w:p w14:paraId="0666C705">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69335CE7">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3892F90D">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1DD0CCAC">
      <w:r>
        <w:rPr>
          <w:rFonts w:hint="eastAsia" w:eastAsia="仿宋_GB2312"/>
          <w:sz w:val="28"/>
          <w:szCs w:val="28"/>
        </w:rPr>
        <w:t xml:space="preserve">天津市滨海新区行政审批局             </w:t>
      </w:r>
      <w:r>
        <w:rPr>
          <w:rFonts w:hint="eastAsia" w:eastAsia="仿宋_GB2312"/>
          <w:sz w:val="28"/>
          <w:szCs w:val="28"/>
          <w:lang w:val="en-US" w:eastAsia="zh-CN"/>
        </w:rPr>
        <w:t xml:space="preserve">      </w:t>
      </w:r>
      <w:r>
        <w:rPr>
          <w:rFonts w:hint="default" w:eastAsia="仿宋_GB2312"/>
          <w:sz w:val="28"/>
          <w:szCs w:val="28"/>
          <w:lang w:val="en" w:eastAsia="zh-CN"/>
        </w:rPr>
        <w:t xml:space="preserve"> </w:t>
      </w:r>
      <w:r>
        <w:rPr>
          <w:rFonts w:hint="eastAsia" w:eastAsia="仿宋_GB2312"/>
          <w:sz w:val="28"/>
          <w:szCs w:val="28"/>
          <w:lang w:val="en-US" w:eastAsia="zh-CN"/>
        </w:rPr>
        <w:t>2025</w:t>
      </w:r>
      <w:r>
        <w:rPr>
          <w:rFonts w:eastAsia="仿宋_GB2312"/>
          <w:sz w:val="28"/>
          <w:szCs w:val="28"/>
        </w:rPr>
        <w:t>年</w:t>
      </w:r>
      <w:r>
        <w:rPr>
          <w:rFonts w:hint="eastAsia" w:eastAsia="仿宋_GB2312"/>
          <w:sz w:val="28"/>
          <w:szCs w:val="28"/>
          <w:lang w:val="en-US" w:eastAsia="zh-CN"/>
        </w:rPr>
        <w:t>1</w:t>
      </w:r>
      <w:r>
        <w:rPr>
          <w:rFonts w:hint="default" w:eastAsia="仿宋_GB2312"/>
          <w:sz w:val="28"/>
          <w:szCs w:val="28"/>
          <w:lang w:val="en" w:eastAsia="zh-CN"/>
        </w:rPr>
        <w:t>2</w:t>
      </w:r>
      <w:r>
        <w:rPr>
          <w:rFonts w:eastAsia="仿宋_GB2312"/>
          <w:sz w:val="28"/>
          <w:szCs w:val="28"/>
        </w:rPr>
        <w:t>月</w:t>
      </w:r>
      <w:r>
        <w:rPr>
          <w:rFonts w:hint="default" w:eastAsia="仿宋_GB2312"/>
          <w:sz w:val="28"/>
          <w:szCs w:val="28"/>
          <w:lang w:val="en" w:eastAsia="zh-CN"/>
        </w:rPr>
        <w:t>2</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5F33">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06283">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06283">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273D">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6D419B6">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2691984"/>
    <w:rsid w:val="03550BFE"/>
    <w:rsid w:val="040E2881"/>
    <w:rsid w:val="06F1603D"/>
    <w:rsid w:val="077C3086"/>
    <w:rsid w:val="07CF6683"/>
    <w:rsid w:val="08FF1D4E"/>
    <w:rsid w:val="09124BF7"/>
    <w:rsid w:val="09C20CD4"/>
    <w:rsid w:val="0A5573E3"/>
    <w:rsid w:val="0A7C212E"/>
    <w:rsid w:val="0B5674F3"/>
    <w:rsid w:val="0B6D14B7"/>
    <w:rsid w:val="0CE942B7"/>
    <w:rsid w:val="0D4545B5"/>
    <w:rsid w:val="0D5F3A7D"/>
    <w:rsid w:val="0DA11C36"/>
    <w:rsid w:val="0ED564E0"/>
    <w:rsid w:val="0F376512"/>
    <w:rsid w:val="118A5A25"/>
    <w:rsid w:val="11E572EB"/>
    <w:rsid w:val="146A0DE6"/>
    <w:rsid w:val="15B51487"/>
    <w:rsid w:val="161C585F"/>
    <w:rsid w:val="162E250C"/>
    <w:rsid w:val="171A2A55"/>
    <w:rsid w:val="1720665E"/>
    <w:rsid w:val="18326D5D"/>
    <w:rsid w:val="18AC3C7C"/>
    <w:rsid w:val="195535DF"/>
    <w:rsid w:val="19BD63E6"/>
    <w:rsid w:val="19CB339C"/>
    <w:rsid w:val="1A0575B6"/>
    <w:rsid w:val="1BB455C7"/>
    <w:rsid w:val="1C084CC7"/>
    <w:rsid w:val="1E9437AE"/>
    <w:rsid w:val="1F2A662A"/>
    <w:rsid w:val="20546C12"/>
    <w:rsid w:val="20836690"/>
    <w:rsid w:val="20E406FC"/>
    <w:rsid w:val="2156336B"/>
    <w:rsid w:val="21C3288F"/>
    <w:rsid w:val="22610E50"/>
    <w:rsid w:val="22A21F73"/>
    <w:rsid w:val="22AF5EBF"/>
    <w:rsid w:val="233667EF"/>
    <w:rsid w:val="265E70F3"/>
    <w:rsid w:val="26FA244B"/>
    <w:rsid w:val="27358AFB"/>
    <w:rsid w:val="27E736B9"/>
    <w:rsid w:val="280265C2"/>
    <w:rsid w:val="286345FC"/>
    <w:rsid w:val="28B735F1"/>
    <w:rsid w:val="28CC03F4"/>
    <w:rsid w:val="2ACE6A8A"/>
    <w:rsid w:val="2B02634F"/>
    <w:rsid w:val="2B3B7D75"/>
    <w:rsid w:val="2C171AB1"/>
    <w:rsid w:val="2CB10401"/>
    <w:rsid w:val="2CD656D8"/>
    <w:rsid w:val="2CFF6A94"/>
    <w:rsid w:val="2D5A2BCE"/>
    <w:rsid w:val="2D9E3091"/>
    <w:rsid w:val="2F44136D"/>
    <w:rsid w:val="2F662DB7"/>
    <w:rsid w:val="2FEF2C1A"/>
    <w:rsid w:val="30241BDC"/>
    <w:rsid w:val="30262E18"/>
    <w:rsid w:val="316A2E22"/>
    <w:rsid w:val="32622092"/>
    <w:rsid w:val="32CE4FCF"/>
    <w:rsid w:val="33432205"/>
    <w:rsid w:val="33633703"/>
    <w:rsid w:val="33FC1F5A"/>
    <w:rsid w:val="347722F2"/>
    <w:rsid w:val="347F2CE0"/>
    <w:rsid w:val="35533D0B"/>
    <w:rsid w:val="357D7D64"/>
    <w:rsid w:val="35DF103A"/>
    <w:rsid w:val="36C51F7A"/>
    <w:rsid w:val="375F19FD"/>
    <w:rsid w:val="37BF32B3"/>
    <w:rsid w:val="37EB048C"/>
    <w:rsid w:val="385C19AE"/>
    <w:rsid w:val="39535326"/>
    <w:rsid w:val="3982447C"/>
    <w:rsid w:val="399D5FE8"/>
    <w:rsid w:val="3AB80498"/>
    <w:rsid w:val="3AF90D0A"/>
    <w:rsid w:val="3B0D5BF6"/>
    <w:rsid w:val="3B660234"/>
    <w:rsid w:val="3D2E17ED"/>
    <w:rsid w:val="3DFF6B61"/>
    <w:rsid w:val="3E015AA4"/>
    <w:rsid w:val="3ED5EC67"/>
    <w:rsid w:val="3EFBB4E9"/>
    <w:rsid w:val="3EFF249B"/>
    <w:rsid w:val="3F9A2934"/>
    <w:rsid w:val="3FC55010"/>
    <w:rsid w:val="3FD14EC6"/>
    <w:rsid w:val="40A9471F"/>
    <w:rsid w:val="41116DDD"/>
    <w:rsid w:val="41AC599C"/>
    <w:rsid w:val="42382433"/>
    <w:rsid w:val="438C73F1"/>
    <w:rsid w:val="445A69E2"/>
    <w:rsid w:val="44811733"/>
    <w:rsid w:val="449064F7"/>
    <w:rsid w:val="44A333BF"/>
    <w:rsid w:val="44FB2731"/>
    <w:rsid w:val="4506590B"/>
    <w:rsid w:val="45915881"/>
    <w:rsid w:val="45D27CD9"/>
    <w:rsid w:val="46534CE5"/>
    <w:rsid w:val="46BF2397"/>
    <w:rsid w:val="47693F8F"/>
    <w:rsid w:val="48314946"/>
    <w:rsid w:val="499225AB"/>
    <w:rsid w:val="4AE43C50"/>
    <w:rsid w:val="4B106CD2"/>
    <w:rsid w:val="4BED5E07"/>
    <w:rsid w:val="4BFD9CF0"/>
    <w:rsid w:val="4D005CA5"/>
    <w:rsid w:val="4D855597"/>
    <w:rsid w:val="4DFFF697"/>
    <w:rsid w:val="4E2E0232"/>
    <w:rsid w:val="4E3F66C2"/>
    <w:rsid w:val="4EC837AE"/>
    <w:rsid w:val="4F7FF76E"/>
    <w:rsid w:val="52683711"/>
    <w:rsid w:val="53ED7747"/>
    <w:rsid w:val="55C20EA5"/>
    <w:rsid w:val="56AF49D1"/>
    <w:rsid w:val="5814296E"/>
    <w:rsid w:val="581DE5D1"/>
    <w:rsid w:val="5834469F"/>
    <w:rsid w:val="58704048"/>
    <w:rsid w:val="591F2B9C"/>
    <w:rsid w:val="59465D4C"/>
    <w:rsid w:val="59EC4DD6"/>
    <w:rsid w:val="59F83A4A"/>
    <w:rsid w:val="5A39115B"/>
    <w:rsid w:val="5ABC54F2"/>
    <w:rsid w:val="5AC3177F"/>
    <w:rsid w:val="5D0F3DCC"/>
    <w:rsid w:val="5D68103A"/>
    <w:rsid w:val="5D775A82"/>
    <w:rsid w:val="5DFF1669"/>
    <w:rsid w:val="5E257683"/>
    <w:rsid w:val="5E604728"/>
    <w:rsid w:val="5EBF6C81"/>
    <w:rsid w:val="5F0E3CB8"/>
    <w:rsid w:val="60885CA7"/>
    <w:rsid w:val="61C254B7"/>
    <w:rsid w:val="61F10051"/>
    <w:rsid w:val="61FA1823"/>
    <w:rsid w:val="628A6975"/>
    <w:rsid w:val="62922D24"/>
    <w:rsid w:val="640F6E0B"/>
    <w:rsid w:val="65BB4D3C"/>
    <w:rsid w:val="65EF76D2"/>
    <w:rsid w:val="65FEDA44"/>
    <w:rsid w:val="65FF7AC3"/>
    <w:rsid w:val="662611AC"/>
    <w:rsid w:val="66486604"/>
    <w:rsid w:val="675F70AE"/>
    <w:rsid w:val="683F7341"/>
    <w:rsid w:val="69310A01"/>
    <w:rsid w:val="6A1D01E4"/>
    <w:rsid w:val="6B720AE3"/>
    <w:rsid w:val="6E0A324A"/>
    <w:rsid w:val="6E4D6C01"/>
    <w:rsid w:val="6EE368BD"/>
    <w:rsid w:val="6EFF0D95"/>
    <w:rsid w:val="6F765C07"/>
    <w:rsid w:val="6F7A5DB8"/>
    <w:rsid w:val="6FC748FD"/>
    <w:rsid w:val="6FF75B98"/>
    <w:rsid w:val="70F780F5"/>
    <w:rsid w:val="715926C4"/>
    <w:rsid w:val="718F062F"/>
    <w:rsid w:val="71E03B95"/>
    <w:rsid w:val="727218EC"/>
    <w:rsid w:val="744A736E"/>
    <w:rsid w:val="75997222"/>
    <w:rsid w:val="75BE096A"/>
    <w:rsid w:val="75C51F0B"/>
    <w:rsid w:val="7605103D"/>
    <w:rsid w:val="76AF4C49"/>
    <w:rsid w:val="773C481C"/>
    <w:rsid w:val="775E2E09"/>
    <w:rsid w:val="789B6A68"/>
    <w:rsid w:val="78BF6E1B"/>
    <w:rsid w:val="79D35D8D"/>
    <w:rsid w:val="79D7682F"/>
    <w:rsid w:val="79FE3012"/>
    <w:rsid w:val="7BBE0664"/>
    <w:rsid w:val="7CC077EE"/>
    <w:rsid w:val="7CDB6472"/>
    <w:rsid w:val="7D247CD4"/>
    <w:rsid w:val="7E6678D4"/>
    <w:rsid w:val="7E906943"/>
    <w:rsid w:val="7F798CAF"/>
    <w:rsid w:val="7F7CF0BB"/>
    <w:rsid w:val="7F7F75C8"/>
    <w:rsid w:val="7F922865"/>
    <w:rsid w:val="7FDF98FC"/>
    <w:rsid w:val="7FDFB978"/>
    <w:rsid w:val="87CD38A7"/>
    <w:rsid w:val="953DB438"/>
    <w:rsid w:val="9FF97C25"/>
    <w:rsid w:val="AF8FDAA8"/>
    <w:rsid w:val="B9FFD619"/>
    <w:rsid w:val="BBE3FCA7"/>
    <w:rsid w:val="BF77F910"/>
    <w:rsid w:val="BF7FD4FF"/>
    <w:rsid w:val="BFE75542"/>
    <w:rsid w:val="CB606E51"/>
    <w:rsid w:val="D7DDBB15"/>
    <w:rsid w:val="D9EF5372"/>
    <w:rsid w:val="DB839824"/>
    <w:rsid w:val="E1FECF93"/>
    <w:rsid w:val="E3F65858"/>
    <w:rsid w:val="E7C91041"/>
    <w:rsid w:val="E7FB8941"/>
    <w:rsid w:val="EBCC40C6"/>
    <w:rsid w:val="EBFF7B62"/>
    <w:rsid w:val="EDFF55FE"/>
    <w:rsid w:val="EEF43F6C"/>
    <w:rsid w:val="EFA220A9"/>
    <w:rsid w:val="F5BFB026"/>
    <w:rsid w:val="F5DF579C"/>
    <w:rsid w:val="F73D0710"/>
    <w:rsid w:val="F7821887"/>
    <w:rsid w:val="F9FFCD0D"/>
    <w:rsid w:val="FB812BAF"/>
    <w:rsid w:val="FBFF8BBD"/>
    <w:rsid w:val="FEF50D95"/>
    <w:rsid w:val="FF2F4338"/>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1085</Words>
  <Characters>1233</Characters>
  <Lines>1</Lines>
  <Paragraphs>1</Paragraphs>
  <TotalTime>0</TotalTime>
  <ScaleCrop>false</ScaleCrop>
  <LinksUpToDate>false</LinksUpToDate>
  <CharactersWithSpaces>1290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2014-05-28T17:22:00Z</dcterms:created>
  <dc:creator>张明蕾</dc:creator>
  <cp:lastModifiedBy>dell</cp:lastModifiedBy>
  <cp:lastPrinted>2025-12-02T07:31:00Z</cp:lastPrinted>
  <dcterms:modified xsi:type="dcterms:W3CDTF">2025-12-04T05:47:07Z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eyJoZGlkIjoiYjg0MDMyMDcxYmM3M2M5ZGQ1MWMwYmNhNzhmNzU4YTciLCJ1c2VySWQiOiIxMDY0NjQ1MTUyIn0=</vt:lpwstr>
  </property>
</Properties>
</file>