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CCED98">
      <w:pPr>
        <w:spacing w:line="360" w:lineRule="auto"/>
      </w:pPr>
    </w:p>
    <w:p w14:paraId="6B8F1B46">
      <w:pPr>
        <w:spacing w:line="360" w:lineRule="auto"/>
      </w:pPr>
    </w:p>
    <w:p w14:paraId="388E5739"/>
    <w:p w14:paraId="22A6AD1C">
      <w:pPr>
        <w:spacing w:line="360" w:lineRule="auto"/>
        <w:jc w:val="center"/>
        <w:rPr>
          <w:rFonts w:ascii="仿宋_GB2312"/>
        </w:rPr>
      </w:pPr>
    </w:p>
    <w:p w14:paraId="38089297">
      <w:pPr>
        <w:autoSpaceDE w:val="0"/>
        <w:autoSpaceDN w:val="0"/>
        <w:jc w:val="center"/>
        <w:rPr>
          <w:rFonts w:ascii="Times New Roman" w:hAnsi="Times New Roman"/>
          <w:lang w:val="zh-CN"/>
        </w:rPr>
      </w:pPr>
      <w:r>
        <w:rPr>
          <w:rFonts w:hint="eastAsia" w:ascii="Times New Roman" w:hAnsi="Times New Roman"/>
          <w:lang w:val="zh-CN"/>
        </w:rPr>
        <w:t>津滨审批二室准〔202</w:t>
      </w:r>
      <w:r>
        <w:rPr>
          <w:rFonts w:hint="eastAsia" w:ascii="Times New Roman" w:hAnsi="Times New Roman"/>
          <w:lang w:val="en-US" w:eastAsia="zh-CN"/>
        </w:rPr>
        <w:t>5</w:t>
      </w:r>
      <w:r>
        <w:rPr>
          <w:rFonts w:hint="eastAsia" w:ascii="Times New Roman" w:hAnsi="Times New Roman"/>
          <w:lang w:val="zh-CN"/>
        </w:rPr>
        <w:t>〕</w:t>
      </w:r>
      <w:r>
        <w:rPr>
          <w:rFonts w:hint="eastAsia" w:ascii="Times New Roman" w:hAnsi="Times New Roman"/>
          <w:lang w:val="en-US" w:eastAsia="zh-CN"/>
        </w:rPr>
        <w:t>274</w:t>
      </w:r>
      <w:r>
        <w:rPr>
          <w:rFonts w:hint="eastAsia" w:ascii="Times New Roman" w:hAnsi="Times New Roman"/>
          <w:lang w:val="zh-CN"/>
        </w:rPr>
        <w:t xml:space="preserve">号 </w:t>
      </w:r>
    </w:p>
    <w:p w14:paraId="0705C7D3">
      <w:pPr>
        <w:autoSpaceDE w:val="0"/>
        <w:autoSpaceDN w:val="0"/>
        <w:jc w:val="center"/>
        <w:rPr>
          <w:rFonts w:ascii="Times New Roman" w:hAnsi="Times New Roman"/>
        </w:rPr>
      </w:pPr>
      <w:bookmarkStart w:id="0" w:name="_GoBack"/>
      <w:bookmarkEnd w:id="0"/>
    </w:p>
    <w:p w14:paraId="064A6A1E">
      <w:pPr>
        <w:spacing w:line="600" w:lineRule="exact"/>
        <w:jc w:val="center"/>
        <w:rPr>
          <w:rFonts w:ascii="Times New Roman" w:hAnsi="Times New Roman"/>
          <w:kern w:val="24"/>
        </w:rPr>
      </w:pPr>
      <w:r>
        <w:rPr>
          <w:rFonts w:hint="eastAsia" w:ascii="Times New Roman" w:hAnsi="Times New Roman"/>
          <w:kern w:val="24"/>
        </w:rPr>
        <w:t>（项目代码：2504-120116-89-05-708531）</w:t>
      </w:r>
    </w:p>
    <w:p w14:paraId="48FD97D0">
      <w:pPr>
        <w:pStyle w:val="8"/>
        <w:spacing w:line="600" w:lineRule="exact"/>
        <w:jc w:val="center"/>
        <w:rPr>
          <w:rFonts w:hint="eastAsia" w:eastAsia="方正小标宋简体"/>
          <w:color w:val="000000"/>
          <w:sz w:val="44"/>
        </w:rPr>
      </w:pPr>
      <w:r>
        <w:rPr>
          <w:rFonts w:hint="eastAsia" w:eastAsia="方正小标宋简体"/>
          <w:color w:val="000000"/>
          <w:sz w:val="44"/>
        </w:rPr>
        <w:t>关于年产5万套废气净化环保专用设备</w:t>
      </w:r>
    </w:p>
    <w:p w14:paraId="6F4EB294">
      <w:pPr>
        <w:pStyle w:val="8"/>
        <w:spacing w:line="600" w:lineRule="exact"/>
        <w:jc w:val="center"/>
        <w:rPr>
          <w:rFonts w:eastAsia="方正小标宋简体"/>
          <w:color w:val="000000"/>
          <w:sz w:val="44"/>
        </w:rPr>
      </w:pPr>
      <w:r>
        <w:rPr>
          <w:rFonts w:hint="eastAsia" w:eastAsia="方正小标宋简体"/>
          <w:color w:val="000000"/>
          <w:sz w:val="44"/>
        </w:rPr>
        <w:t>新建项目</w:t>
      </w:r>
      <w:r>
        <w:rPr>
          <w:rFonts w:eastAsia="方正小标宋简体"/>
          <w:color w:val="000000"/>
          <w:sz w:val="44"/>
        </w:rPr>
        <w:t>环境影响报告表的批复</w:t>
      </w:r>
    </w:p>
    <w:p w14:paraId="25893819">
      <w:pPr>
        <w:spacing w:line="520" w:lineRule="exact"/>
        <w:jc w:val="center"/>
        <w:rPr>
          <w:b/>
          <w:color w:val="000000"/>
          <w:sz w:val="44"/>
        </w:rPr>
      </w:pPr>
    </w:p>
    <w:p w14:paraId="431B49B1">
      <w:pPr>
        <w:pStyle w:val="8"/>
        <w:keepNext w:val="0"/>
        <w:keepLines w:val="0"/>
        <w:pageBreakBefore w:val="0"/>
        <w:widowControl w:val="0"/>
        <w:kinsoku/>
        <w:wordWrap/>
        <w:overflowPunct/>
        <w:topLinePunct w:val="0"/>
        <w:autoSpaceDE/>
        <w:autoSpaceDN/>
        <w:bidi w:val="0"/>
        <w:adjustRightInd w:val="0"/>
        <w:snapToGrid/>
        <w:spacing w:line="560" w:lineRule="exact"/>
        <w:textAlignment w:val="baseline"/>
        <w:rPr>
          <w:sz w:val="32"/>
          <w:szCs w:val="32"/>
        </w:rPr>
      </w:pPr>
      <w:r>
        <w:rPr>
          <w:rFonts w:hint="eastAsia"/>
          <w:sz w:val="32"/>
          <w:szCs w:val="32"/>
        </w:rPr>
        <w:t>天津清济新材料有限公司</w:t>
      </w:r>
      <w:r>
        <w:rPr>
          <w:sz w:val="32"/>
          <w:szCs w:val="32"/>
        </w:rPr>
        <w:t>：</w:t>
      </w:r>
    </w:p>
    <w:p w14:paraId="09EBBCC1">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sz w:val="32"/>
          <w:szCs w:val="32"/>
        </w:rPr>
        <w:t>你</w:t>
      </w:r>
      <w:r>
        <w:rPr>
          <w:rFonts w:hint="eastAsia"/>
          <w:sz w:val="32"/>
          <w:szCs w:val="32"/>
        </w:rPr>
        <w:t>单位</w:t>
      </w:r>
      <w:r>
        <w:rPr>
          <w:sz w:val="32"/>
          <w:szCs w:val="32"/>
        </w:rPr>
        <w:t>呈报的</w:t>
      </w:r>
      <w:r>
        <w:rPr>
          <w:rFonts w:hint="eastAsia"/>
          <w:sz w:val="32"/>
          <w:szCs w:val="32"/>
        </w:rPr>
        <w:t>《</w:t>
      </w:r>
      <w:r>
        <w:rPr>
          <w:rFonts w:hint="eastAsia"/>
          <w:sz w:val="32"/>
          <w:szCs w:val="32"/>
          <w:lang w:eastAsia="zh-CN"/>
        </w:rPr>
        <w:t>建设</w:t>
      </w:r>
      <w:r>
        <w:rPr>
          <w:rFonts w:hint="eastAsia"/>
          <w:sz w:val="32"/>
          <w:szCs w:val="32"/>
        </w:rPr>
        <w:t>项目</w:t>
      </w:r>
      <w:r>
        <w:rPr>
          <w:sz w:val="32"/>
          <w:szCs w:val="32"/>
        </w:rPr>
        <w:t>环境影响</w:t>
      </w:r>
      <w:r>
        <w:rPr>
          <w:rFonts w:hint="eastAsia"/>
          <w:sz w:val="32"/>
          <w:szCs w:val="32"/>
          <w:lang w:eastAsia="zh-CN"/>
        </w:rPr>
        <w:t>审批</w:t>
      </w:r>
      <w:r>
        <w:rPr>
          <w:rFonts w:hint="eastAsia"/>
          <w:sz w:val="32"/>
          <w:szCs w:val="32"/>
        </w:rPr>
        <w:t>申请</w:t>
      </w:r>
      <w:r>
        <w:rPr>
          <w:rFonts w:hint="eastAsia"/>
          <w:sz w:val="32"/>
          <w:szCs w:val="32"/>
          <w:lang w:eastAsia="zh-CN"/>
        </w:rPr>
        <w:t>书</w:t>
      </w:r>
      <w:r>
        <w:rPr>
          <w:rFonts w:hint="eastAsia"/>
          <w:sz w:val="32"/>
          <w:szCs w:val="32"/>
        </w:rPr>
        <w:t>》、联合泰泽环境科技发展有限公司</w:t>
      </w:r>
      <w:r>
        <w:rPr>
          <w:sz w:val="32"/>
          <w:szCs w:val="32"/>
        </w:rPr>
        <w:t>《</w:t>
      </w:r>
      <w:r>
        <w:rPr>
          <w:rFonts w:hint="eastAsia"/>
          <w:sz w:val="32"/>
          <w:szCs w:val="32"/>
        </w:rPr>
        <w:t>年产5万套废气净化环保专用设备新建项目</w:t>
      </w:r>
      <w:r>
        <w:rPr>
          <w:sz w:val="32"/>
          <w:szCs w:val="32"/>
        </w:rPr>
        <w:t>环境影响报告表》及其</w:t>
      </w:r>
      <w:r>
        <w:rPr>
          <w:rFonts w:hint="eastAsia"/>
          <w:sz w:val="32"/>
          <w:szCs w:val="32"/>
        </w:rPr>
        <w:t>相关材料</w:t>
      </w:r>
      <w:r>
        <w:rPr>
          <w:sz w:val="32"/>
          <w:szCs w:val="32"/>
        </w:rPr>
        <w:t>收悉。经研究，现批复如下：</w:t>
      </w:r>
    </w:p>
    <w:p w14:paraId="41CCB099">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highlight w:val="cyan"/>
        </w:rPr>
      </w:pPr>
      <w:r>
        <w:rPr>
          <w:sz w:val="32"/>
          <w:szCs w:val="32"/>
        </w:rPr>
        <w:t>一、</w:t>
      </w:r>
      <w:r>
        <w:rPr>
          <w:rFonts w:hint="eastAsia"/>
          <w:sz w:val="32"/>
          <w:szCs w:val="32"/>
        </w:rPr>
        <w:t>你单位拟</w:t>
      </w:r>
      <w:r>
        <w:rPr>
          <w:rFonts w:hint="eastAsia"/>
          <w:sz w:val="32"/>
          <w:szCs w:val="32"/>
          <w:lang w:eastAsia="zh-CN"/>
        </w:rPr>
        <w:t>租赁</w:t>
      </w:r>
      <w:r>
        <w:rPr>
          <w:rFonts w:hint="eastAsia"/>
          <w:sz w:val="32"/>
          <w:szCs w:val="32"/>
        </w:rPr>
        <w:t>天津市滨海新区古林工业园区津歧路东侧</w:t>
      </w:r>
      <w:r>
        <w:rPr>
          <w:rFonts w:hint="eastAsia"/>
          <w:sz w:val="32"/>
          <w:szCs w:val="32"/>
          <w:lang w:eastAsia="zh-CN"/>
        </w:rPr>
        <w:t>现有厂房建设</w:t>
      </w:r>
      <w:r>
        <w:rPr>
          <w:rFonts w:hint="eastAsia"/>
          <w:sz w:val="32"/>
          <w:szCs w:val="32"/>
        </w:rPr>
        <w:t>“年产5万套废气净化环保专用设备项目”（以下简称“项目”）。项目主要建设内容为：购置安装干燥炉、焙烧炉、搅拌装置、涂层装置等生产设备，生产发动机过滤器材，建成后年产发动机过滤器材5万套。项目总投资</w:t>
      </w:r>
      <w:r>
        <w:rPr>
          <w:rFonts w:hint="eastAsia"/>
          <w:sz w:val="32"/>
          <w:szCs w:val="32"/>
          <w:lang w:val="en-US" w:eastAsia="zh-CN"/>
        </w:rPr>
        <w:t>2000</w:t>
      </w:r>
      <w:r>
        <w:rPr>
          <w:rFonts w:hint="eastAsia"/>
          <w:sz w:val="32"/>
          <w:szCs w:val="32"/>
        </w:rPr>
        <w:t>万元人民币，其中环保投资</w:t>
      </w:r>
      <w:r>
        <w:rPr>
          <w:rFonts w:hint="eastAsia"/>
          <w:sz w:val="32"/>
          <w:szCs w:val="32"/>
          <w:lang w:val="en-US" w:eastAsia="zh-CN"/>
        </w:rPr>
        <w:t>34</w:t>
      </w:r>
      <w:r>
        <w:rPr>
          <w:rFonts w:hint="eastAsia"/>
          <w:sz w:val="32"/>
          <w:szCs w:val="32"/>
        </w:rPr>
        <w:t>万元人民币，约占总投资的</w:t>
      </w:r>
      <w:r>
        <w:rPr>
          <w:rFonts w:hint="eastAsia"/>
          <w:sz w:val="32"/>
          <w:szCs w:val="32"/>
          <w:lang w:val="en-US" w:eastAsia="zh-CN"/>
        </w:rPr>
        <w:t>1</w:t>
      </w:r>
      <w:r>
        <w:rPr>
          <w:rFonts w:hint="eastAsia"/>
          <w:sz w:val="32"/>
          <w:szCs w:val="32"/>
        </w:rPr>
        <w:t>.</w:t>
      </w:r>
      <w:r>
        <w:rPr>
          <w:rFonts w:hint="eastAsia"/>
          <w:sz w:val="32"/>
          <w:szCs w:val="32"/>
          <w:lang w:val="en-US" w:eastAsia="zh-CN"/>
        </w:rPr>
        <w:t>7</w:t>
      </w:r>
      <w:r>
        <w:rPr>
          <w:rFonts w:hint="eastAsia"/>
          <w:sz w:val="32"/>
          <w:szCs w:val="32"/>
        </w:rPr>
        <w:t>%，预计于202</w:t>
      </w:r>
      <w:r>
        <w:rPr>
          <w:rFonts w:hint="eastAsia"/>
          <w:sz w:val="32"/>
          <w:szCs w:val="32"/>
          <w:lang w:val="en-US" w:eastAsia="zh-CN"/>
        </w:rPr>
        <w:t>5</w:t>
      </w:r>
      <w:r>
        <w:rPr>
          <w:rFonts w:hint="eastAsia"/>
          <w:sz w:val="32"/>
          <w:szCs w:val="32"/>
        </w:rPr>
        <w:t>年1</w:t>
      </w:r>
      <w:r>
        <w:rPr>
          <w:rFonts w:hint="eastAsia"/>
          <w:sz w:val="32"/>
          <w:szCs w:val="32"/>
          <w:lang w:val="en-US" w:eastAsia="zh-CN"/>
        </w:rPr>
        <w:t>2</w:t>
      </w:r>
      <w:r>
        <w:rPr>
          <w:rFonts w:hint="eastAsia"/>
          <w:sz w:val="32"/>
          <w:szCs w:val="32"/>
        </w:rPr>
        <w:t>月竣工。</w:t>
      </w:r>
    </w:p>
    <w:p w14:paraId="5BA44ACD">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color w:val="auto"/>
          <w:sz w:val="32"/>
          <w:szCs w:val="32"/>
        </w:rPr>
        <w:t>20</w:t>
      </w:r>
      <w:r>
        <w:rPr>
          <w:rFonts w:hint="eastAsia"/>
          <w:color w:val="auto"/>
          <w:sz w:val="32"/>
          <w:szCs w:val="32"/>
        </w:rPr>
        <w:t>2</w:t>
      </w:r>
      <w:r>
        <w:rPr>
          <w:rFonts w:hint="eastAsia"/>
          <w:color w:val="auto"/>
          <w:sz w:val="32"/>
          <w:szCs w:val="32"/>
          <w:lang w:val="en-US" w:eastAsia="zh-CN"/>
        </w:rPr>
        <w:t>5</w:t>
      </w:r>
      <w:r>
        <w:rPr>
          <w:color w:val="auto"/>
          <w:sz w:val="32"/>
          <w:szCs w:val="32"/>
        </w:rPr>
        <w:t>年</w:t>
      </w:r>
      <w:r>
        <w:rPr>
          <w:rFonts w:hint="eastAsia"/>
          <w:color w:val="auto"/>
          <w:sz w:val="32"/>
          <w:szCs w:val="32"/>
          <w:lang w:val="en-US" w:eastAsia="zh-CN"/>
        </w:rPr>
        <w:t>11</w:t>
      </w:r>
      <w:r>
        <w:rPr>
          <w:color w:val="auto"/>
          <w:sz w:val="32"/>
          <w:szCs w:val="32"/>
        </w:rPr>
        <w:t>月</w:t>
      </w:r>
      <w:r>
        <w:rPr>
          <w:rFonts w:hint="eastAsia"/>
          <w:color w:val="auto"/>
          <w:sz w:val="32"/>
          <w:szCs w:val="32"/>
          <w:lang w:val="en-US" w:eastAsia="zh-CN"/>
        </w:rPr>
        <w:t>14</w:t>
      </w:r>
      <w:r>
        <w:rPr>
          <w:color w:val="auto"/>
          <w:sz w:val="32"/>
          <w:szCs w:val="32"/>
        </w:rPr>
        <w:t>日至</w:t>
      </w:r>
      <w:r>
        <w:rPr>
          <w:rFonts w:hint="eastAsia"/>
          <w:color w:val="auto"/>
          <w:sz w:val="32"/>
          <w:szCs w:val="32"/>
          <w:lang w:val="en-US" w:eastAsia="zh-CN"/>
        </w:rPr>
        <w:t>11</w:t>
      </w:r>
      <w:r>
        <w:rPr>
          <w:color w:val="auto"/>
          <w:sz w:val="32"/>
          <w:szCs w:val="32"/>
        </w:rPr>
        <w:t>月</w:t>
      </w:r>
      <w:r>
        <w:rPr>
          <w:rFonts w:hint="eastAsia"/>
          <w:color w:val="auto"/>
          <w:sz w:val="32"/>
          <w:szCs w:val="32"/>
          <w:lang w:val="en-US" w:eastAsia="zh-CN"/>
        </w:rPr>
        <w:t>19</w:t>
      </w:r>
      <w:r>
        <w:rPr>
          <w:color w:val="auto"/>
          <w:sz w:val="32"/>
          <w:szCs w:val="32"/>
        </w:rPr>
        <w:t>日，</w:t>
      </w:r>
      <w:r>
        <w:rPr>
          <w:sz w:val="32"/>
          <w:szCs w:val="32"/>
        </w:rPr>
        <w:t>我局将该项目受理情况进行公示</w:t>
      </w:r>
      <w:r>
        <w:rPr>
          <w:color w:val="auto"/>
          <w:sz w:val="32"/>
          <w:szCs w:val="32"/>
        </w:rPr>
        <w:t>；</w:t>
      </w:r>
      <w:r>
        <w:rPr>
          <w:rFonts w:hint="eastAsia"/>
          <w:color w:val="auto"/>
          <w:sz w:val="32"/>
          <w:szCs w:val="32"/>
        </w:rPr>
        <w:t>1</w:t>
      </w:r>
      <w:r>
        <w:rPr>
          <w:rFonts w:hint="eastAsia"/>
          <w:color w:val="auto"/>
          <w:sz w:val="32"/>
          <w:szCs w:val="32"/>
          <w:lang w:val="en-US" w:eastAsia="zh-CN"/>
        </w:rPr>
        <w:t>1</w:t>
      </w:r>
      <w:r>
        <w:rPr>
          <w:color w:val="auto"/>
          <w:sz w:val="32"/>
          <w:szCs w:val="32"/>
        </w:rPr>
        <w:t>月</w:t>
      </w:r>
      <w:r>
        <w:rPr>
          <w:rFonts w:hint="eastAsia"/>
          <w:color w:val="auto"/>
          <w:sz w:val="32"/>
          <w:szCs w:val="32"/>
          <w:lang w:val="en-US" w:eastAsia="zh-CN"/>
        </w:rPr>
        <w:t>24</w:t>
      </w:r>
      <w:r>
        <w:rPr>
          <w:rFonts w:hint="eastAsia"/>
          <w:color w:val="auto"/>
          <w:sz w:val="32"/>
          <w:szCs w:val="32"/>
        </w:rPr>
        <w:t>日至1</w:t>
      </w:r>
      <w:r>
        <w:rPr>
          <w:rFonts w:hint="eastAsia"/>
          <w:color w:val="auto"/>
          <w:sz w:val="32"/>
          <w:szCs w:val="32"/>
          <w:lang w:val="en-US" w:eastAsia="zh-CN"/>
        </w:rPr>
        <w:t>1</w:t>
      </w:r>
      <w:r>
        <w:rPr>
          <w:rFonts w:hint="eastAsia"/>
          <w:color w:val="auto"/>
          <w:sz w:val="32"/>
          <w:szCs w:val="32"/>
        </w:rPr>
        <w:t>月2</w:t>
      </w:r>
      <w:r>
        <w:rPr>
          <w:rFonts w:hint="eastAsia"/>
          <w:color w:val="auto"/>
          <w:sz w:val="32"/>
          <w:szCs w:val="32"/>
          <w:lang w:val="en-US" w:eastAsia="zh-CN"/>
        </w:rPr>
        <w:t>8</w:t>
      </w:r>
      <w:r>
        <w:rPr>
          <w:rFonts w:hint="eastAsia"/>
          <w:color w:val="auto"/>
          <w:sz w:val="32"/>
          <w:szCs w:val="32"/>
        </w:rPr>
        <w:t>日</w:t>
      </w:r>
      <w:r>
        <w:rPr>
          <w:sz w:val="32"/>
          <w:szCs w:val="32"/>
        </w:rPr>
        <w:t>，将该项目拟批复情况进行公示；</w:t>
      </w:r>
      <w:r>
        <w:rPr>
          <w:rFonts w:hint="eastAsia"/>
          <w:sz w:val="32"/>
          <w:szCs w:val="32"/>
        </w:rPr>
        <w:t>根据公众反馈意见情况、环评报告结论及其专家评审意见，在严格落实环评报告所提出的各项污染防治措施、确保各类污染物稳定达标的前提下，项目具备环境可行性。</w:t>
      </w:r>
    </w:p>
    <w:p w14:paraId="31438C8F">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rFonts w:hint="eastAsia"/>
          <w:sz w:val="32"/>
          <w:szCs w:val="32"/>
        </w:rPr>
        <w:t>二、项目建设期间，你单位应重点做好以下工作：</w:t>
      </w:r>
    </w:p>
    <w:p w14:paraId="158A7DF5">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rFonts w:hint="eastAsia"/>
          <w:sz w:val="32"/>
          <w:szCs w:val="32"/>
        </w:rPr>
        <w:t>严格贯彻《天津市大气污染防治条例》、《天津市建设工程文明施工管理规定》、《天津市环境噪声污染防治管理办法》等环保法规，落实对施工扬尘、噪声等的各项污染防治措施；施工场地固体垃圾应及时清运；废水妥善处置。</w:t>
      </w:r>
    </w:p>
    <w:p w14:paraId="31ADB8F9">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rFonts w:hint="eastAsia"/>
          <w:sz w:val="32"/>
          <w:szCs w:val="32"/>
        </w:rPr>
        <w:t>三、项目运营过程中，你单位应重点做好以下工作：</w:t>
      </w:r>
    </w:p>
    <w:p w14:paraId="3751192D">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rFonts w:hint="eastAsia"/>
          <w:sz w:val="32"/>
          <w:szCs w:val="32"/>
        </w:rPr>
        <w:t>1、本项目投料废气经滤筒除尘处理，焙烧废气经风冷却器+滤筒除尘+两级活性炭吸附处理，以上废气由密闭管道收集经1根18.1m排气筒P1达标排放。检验废气通过酸碱洗涤装置吸收后通过通风柜吸风罩收集至密闭管道，接入“风冷却器+滤筒除尘+两级活性炭吸附”处理后通过18.1m高排气筒P1</w:t>
      </w:r>
      <w:r>
        <w:rPr>
          <w:rFonts w:hint="eastAsia"/>
          <w:sz w:val="32"/>
          <w:szCs w:val="32"/>
          <w:lang w:eastAsia="zh-CN"/>
        </w:rPr>
        <w:t>达标</w:t>
      </w:r>
      <w:r>
        <w:rPr>
          <w:rFonts w:hint="eastAsia"/>
          <w:sz w:val="32"/>
          <w:szCs w:val="32"/>
        </w:rPr>
        <w:t>排放。项目应采取有效措施降低废气无组织排放，确保各项大气污染物浓度厂界达标。</w:t>
      </w:r>
    </w:p>
    <w:p w14:paraId="37A78E7B">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color w:val="auto"/>
          <w:sz w:val="32"/>
          <w:szCs w:val="32"/>
        </w:rPr>
      </w:pPr>
      <w:r>
        <w:rPr>
          <w:rFonts w:hint="eastAsia"/>
          <w:color w:val="auto"/>
          <w:sz w:val="32"/>
          <w:szCs w:val="32"/>
        </w:rPr>
        <w:t>2、本项目设备清洗水、检测工序设备清洗水，全部回用于浆料制备生产工序，不外排。</w:t>
      </w:r>
      <w:r>
        <w:rPr>
          <w:rFonts w:hint="eastAsia"/>
          <w:color w:val="auto"/>
          <w:sz w:val="32"/>
          <w:szCs w:val="32"/>
          <w:lang w:eastAsia="zh-CN"/>
        </w:rPr>
        <w:t>生活废水</w:t>
      </w:r>
      <w:r>
        <w:rPr>
          <w:rFonts w:hint="eastAsia"/>
          <w:color w:val="auto"/>
          <w:sz w:val="32"/>
          <w:szCs w:val="32"/>
        </w:rPr>
        <w:t>经天津滨海远景玻璃制品有限公司化粪池沉淀后</w:t>
      </w:r>
      <w:r>
        <w:rPr>
          <w:rFonts w:hint="eastAsia"/>
          <w:color w:val="auto"/>
          <w:sz w:val="32"/>
          <w:szCs w:val="32"/>
          <w:lang w:eastAsia="zh-CN"/>
        </w:rPr>
        <w:t>达标</w:t>
      </w:r>
      <w:r>
        <w:rPr>
          <w:rFonts w:hint="eastAsia"/>
          <w:color w:val="auto"/>
          <w:sz w:val="32"/>
          <w:szCs w:val="32"/>
        </w:rPr>
        <w:t>排入园区污水管网，最终</w:t>
      </w:r>
      <w:r>
        <w:rPr>
          <w:rFonts w:hint="eastAsia"/>
          <w:color w:val="auto"/>
          <w:sz w:val="32"/>
          <w:szCs w:val="32"/>
          <w:lang w:eastAsia="zh-CN"/>
        </w:rPr>
        <w:t>进</w:t>
      </w:r>
      <w:r>
        <w:rPr>
          <w:rFonts w:hint="eastAsia"/>
          <w:color w:val="auto"/>
          <w:sz w:val="32"/>
          <w:szCs w:val="32"/>
        </w:rPr>
        <w:t>入大港石化产业园区污水处理厂。</w:t>
      </w:r>
    </w:p>
    <w:p w14:paraId="04FED374">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rFonts w:hint="eastAsia"/>
          <w:sz w:val="32"/>
          <w:szCs w:val="32"/>
        </w:rPr>
        <w:t>3、需加强日常管理，合理布局，选用低噪声设备，对产噪设备实施减振、消声、隔声等措施，加强对运输车辆的维修和保养，采取合理降噪装置，确保厂界噪声达标。</w:t>
      </w:r>
    </w:p>
    <w:p w14:paraId="7A183042">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rFonts w:hint="eastAsia"/>
          <w:sz w:val="32"/>
          <w:szCs w:val="32"/>
        </w:rPr>
        <w:t>4、做好各类固体废物的收集、贮存、运输和处置，做到资源化、减量化、无害化。项目</w:t>
      </w:r>
      <w:r>
        <w:rPr>
          <w:rFonts w:hint="eastAsia"/>
          <w:color w:val="auto"/>
          <w:sz w:val="32"/>
          <w:szCs w:val="32"/>
        </w:rPr>
        <w:t>沾染原辅料的沾染废物、废活性炭、废机油、含油过滤器、废滤筒、实验室废液</w:t>
      </w:r>
      <w:r>
        <w:rPr>
          <w:rFonts w:hint="eastAsia"/>
          <w:sz w:val="32"/>
          <w:szCs w:val="32"/>
        </w:rPr>
        <w:t>等危险废物交由有资质的单位进行处理处置；以上危险废物需按照《危险废物收集 贮存 运输技术规范》（HJ2025-2012）进行收集、贮存及运输；危险废物暂存库应按照《危险废物贮存污染控制标准》（GB18597-2023）进行</w:t>
      </w:r>
      <w:r>
        <w:rPr>
          <w:rFonts w:hint="eastAsia"/>
          <w:sz w:val="32"/>
          <w:szCs w:val="32"/>
          <w:lang w:eastAsia="zh-CN"/>
        </w:rPr>
        <w:t>建设和</w:t>
      </w:r>
      <w:r>
        <w:rPr>
          <w:rFonts w:hint="eastAsia"/>
          <w:sz w:val="32"/>
          <w:szCs w:val="32"/>
        </w:rPr>
        <w:t>管理。废包装由厂家回收；未沾染原辅料的废包装材料不合格品</w:t>
      </w:r>
      <w:r>
        <w:rPr>
          <w:rFonts w:hint="eastAsia"/>
          <w:color w:val="auto"/>
          <w:sz w:val="32"/>
          <w:szCs w:val="32"/>
        </w:rPr>
        <w:t>由物资部门回收综合利用；</w:t>
      </w:r>
      <w:r>
        <w:rPr>
          <w:rFonts w:hint="eastAsia"/>
          <w:sz w:val="32"/>
          <w:szCs w:val="32"/>
        </w:rPr>
        <w:t>废粉尘及生活垃圾交由城管委清运处置。</w:t>
      </w:r>
    </w:p>
    <w:p w14:paraId="730056C0">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rFonts w:hint="eastAsia"/>
          <w:sz w:val="32"/>
          <w:szCs w:val="32"/>
        </w:rPr>
        <w:t>5、按照相关规定，做好排污口规范化工作，设置规范的采样点，悬挂符合要求的标识牌。</w:t>
      </w:r>
    </w:p>
    <w:p w14:paraId="55F5F813">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rFonts w:hint="eastAsia"/>
          <w:sz w:val="32"/>
          <w:szCs w:val="32"/>
        </w:rPr>
        <w:t>6、严格落实报告表中提出的事故防范及应急处理措施，制定有效的环境风险事故应急预案并向区生态环境局备案，强化日常管理，杜绝发生环境事故和次生环境事故，防止事故造成的环境污染。</w:t>
      </w:r>
    </w:p>
    <w:p w14:paraId="0A16ABAF">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rFonts w:hint="eastAsia"/>
          <w:sz w:val="32"/>
          <w:szCs w:val="32"/>
        </w:rPr>
        <w:t>7、落实报告表提出的监测计划，按照相关规定开展定期监测。</w:t>
      </w:r>
    </w:p>
    <w:p w14:paraId="0C117BB0">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color w:val="0000FF"/>
          <w:sz w:val="32"/>
          <w:szCs w:val="32"/>
        </w:rPr>
      </w:pPr>
      <w:r>
        <w:rPr>
          <w:rFonts w:hint="eastAsia"/>
          <w:sz w:val="32"/>
          <w:szCs w:val="32"/>
        </w:rPr>
        <w:t>四、根据环评报告核算，本项目建成后新增重点污染物排放总量最高限值为：化学需氧量0.054吨/年、氨氮0.005吨/年、VOCs0.05832吨/年、氮氧化物0.00088吨/年。</w:t>
      </w:r>
    </w:p>
    <w:p w14:paraId="1080735A">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rFonts w:hint="eastAsia"/>
          <w:sz w:val="32"/>
          <w:szCs w:val="32"/>
        </w:rPr>
        <w:t>五、项目建设应严格执行环境保护设施与主体工程同时设计、同时施工、同时投产使用的“三同时”管理制度。项目应按规定标准和程序开展环境保护验收，经验收合格后方可正式投入运营。若建设项目发生重大变动，需重新报批建设项目的环境影响评价文件。你单位应在启动生产设施或者在实际排污之前按照法律法规要求做好排污许可管理相关工作。</w:t>
      </w:r>
    </w:p>
    <w:p w14:paraId="1D4CA695">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sz w:val="32"/>
          <w:szCs w:val="32"/>
        </w:rPr>
      </w:pPr>
      <w:r>
        <w:rPr>
          <w:rFonts w:hint="eastAsia"/>
          <w:sz w:val="32"/>
          <w:szCs w:val="32"/>
        </w:rPr>
        <w:t>六、项目应执行以下标准：</w:t>
      </w:r>
    </w:p>
    <w:p w14:paraId="74F4965F">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rFonts w:hint="eastAsia" w:eastAsia="仿宋_GB2312"/>
          <w:color w:val="auto"/>
          <w:sz w:val="32"/>
          <w:szCs w:val="32"/>
          <w:lang w:eastAsia="zh-CN"/>
        </w:rPr>
      </w:pPr>
      <w:r>
        <w:rPr>
          <w:rFonts w:hint="eastAsia"/>
          <w:color w:val="auto"/>
          <w:sz w:val="32"/>
          <w:szCs w:val="32"/>
        </w:rPr>
        <w:t>1、《工业企业挥发性有机物排放控制标准》（DB12/524-2020）</w:t>
      </w:r>
      <w:r>
        <w:rPr>
          <w:rFonts w:hint="eastAsia"/>
          <w:color w:val="auto"/>
          <w:sz w:val="32"/>
          <w:szCs w:val="32"/>
          <w:lang w:eastAsia="zh-CN"/>
        </w:rPr>
        <w:t>；</w:t>
      </w:r>
    </w:p>
    <w:p w14:paraId="672AC482">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rFonts w:hint="eastAsia"/>
          <w:color w:val="auto"/>
          <w:sz w:val="32"/>
          <w:szCs w:val="32"/>
        </w:rPr>
      </w:pPr>
      <w:r>
        <w:rPr>
          <w:rFonts w:hint="eastAsia"/>
          <w:color w:val="auto"/>
          <w:sz w:val="32"/>
          <w:szCs w:val="32"/>
        </w:rPr>
        <w:t>2、《大气污染物综合排放标准》（GB16297-1996）；</w:t>
      </w:r>
    </w:p>
    <w:p w14:paraId="28C243F1">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rFonts w:hint="eastAsia" w:eastAsia="仿宋_GB2312"/>
          <w:color w:val="auto"/>
          <w:sz w:val="32"/>
          <w:szCs w:val="32"/>
          <w:lang w:val="en-US" w:eastAsia="zh-CN"/>
        </w:rPr>
      </w:pPr>
      <w:r>
        <w:rPr>
          <w:rFonts w:hint="eastAsia"/>
          <w:color w:val="auto"/>
          <w:sz w:val="32"/>
          <w:szCs w:val="32"/>
          <w:lang w:val="en-US" w:eastAsia="zh-CN"/>
        </w:rPr>
        <w:t>3、《工业炉窑大气污染物排放标准》（DB12/556-2024）；</w:t>
      </w:r>
    </w:p>
    <w:p w14:paraId="7661CA75">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rFonts w:hint="eastAsia"/>
          <w:color w:val="auto"/>
          <w:sz w:val="32"/>
          <w:szCs w:val="32"/>
        </w:rPr>
      </w:pPr>
      <w:r>
        <w:rPr>
          <w:rFonts w:hint="eastAsia"/>
          <w:color w:val="auto"/>
          <w:sz w:val="32"/>
          <w:szCs w:val="32"/>
        </w:rPr>
        <w:t>4、《恶臭污染物排放标准》（DB12/059-2018）；</w:t>
      </w:r>
    </w:p>
    <w:p w14:paraId="6432C632">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rFonts w:hint="eastAsia" w:eastAsia="仿宋_GB2312"/>
          <w:color w:val="auto"/>
          <w:sz w:val="32"/>
          <w:szCs w:val="32"/>
          <w:lang w:val="en-US" w:eastAsia="zh-CN"/>
        </w:rPr>
      </w:pPr>
      <w:r>
        <w:rPr>
          <w:rFonts w:hint="eastAsia"/>
          <w:color w:val="auto"/>
          <w:sz w:val="32"/>
          <w:szCs w:val="32"/>
          <w:lang w:val="en-US" w:eastAsia="zh-CN"/>
        </w:rPr>
        <w:t>5、《建筑施工场界环境噪声排放标准》（GB 12523-2011）；</w:t>
      </w:r>
    </w:p>
    <w:p w14:paraId="693143E9">
      <w:pPr>
        <w:pStyle w:val="8"/>
        <w:keepNext w:val="0"/>
        <w:keepLines w:val="0"/>
        <w:pageBreakBefore w:val="0"/>
        <w:widowControl w:val="0"/>
        <w:kinsoku/>
        <w:wordWrap/>
        <w:overflowPunct/>
        <w:topLinePunct w:val="0"/>
        <w:autoSpaceDE/>
        <w:autoSpaceDN/>
        <w:bidi w:val="0"/>
        <w:adjustRightInd w:val="0"/>
        <w:snapToGrid/>
        <w:spacing w:line="560" w:lineRule="exact"/>
        <w:ind w:left="640" w:leftChars="200" w:firstLine="16" w:firstLineChars="5"/>
        <w:textAlignment w:val="baseline"/>
        <w:rPr>
          <w:rFonts w:hint="eastAsia"/>
          <w:color w:val="auto"/>
          <w:sz w:val="32"/>
          <w:szCs w:val="32"/>
        </w:rPr>
      </w:pPr>
      <w:r>
        <w:rPr>
          <w:rFonts w:hint="eastAsia"/>
          <w:color w:val="auto"/>
          <w:sz w:val="32"/>
          <w:szCs w:val="32"/>
          <w:lang w:val="en-US" w:eastAsia="zh-CN"/>
        </w:rPr>
        <w:t>6</w:t>
      </w:r>
      <w:r>
        <w:rPr>
          <w:rFonts w:hint="eastAsia"/>
          <w:color w:val="auto"/>
          <w:sz w:val="32"/>
          <w:szCs w:val="32"/>
        </w:rPr>
        <w:t>、《工业企业厂界环境噪声排放标准》(GB12348-2008)3类；</w:t>
      </w:r>
      <w:r>
        <w:rPr>
          <w:rFonts w:hint="eastAsia"/>
          <w:color w:val="auto"/>
          <w:sz w:val="32"/>
          <w:szCs w:val="32"/>
          <w:lang w:val="en-US" w:eastAsia="zh-CN"/>
        </w:rPr>
        <w:t>7</w:t>
      </w:r>
      <w:r>
        <w:rPr>
          <w:rFonts w:hint="eastAsia"/>
          <w:color w:val="auto"/>
          <w:sz w:val="32"/>
          <w:szCs w:val="32"/>
        </w:rPr>
        <w:t>、《污水综合排放标准》（DB12/356-2018）三级；</w:t>
      </w:r>
    </w:p>
    <w:p w14:paraId="102F42CC">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color w:val="auto"/>
          <w:sz w:val="32"/>
          <w:szCs w:val="32"/>
        </w:rPr>
      </w:pPr>
      <w:r>
        <w:rPr>
          <w:rFonts w:hint="eastAsia"/>
          <w:color w:val="auto"/>
          <w:sz w:val="32"/>
          <w:szCs w:val="32"/>
          <w:lang w:val="en-US" w:eastAsia="zh-CN"/>
        </w:rPr>
        <w:t>8</w:t>
      </w:r>
      <w:r>
        <w:rPr>
          <w:rFonts w:hint="eastAsia"/>
          <w:color w:val="auto"/>
          <w:sz w:val="32"/>
          <w:szCs w:val="32"/>
        </w:rPr>
        <w:t xml:space="preserve">、《危险废物贮存污染控制标准》（GB18597-2023）； </w:t>
      </w:r>
    </w:p>
    <w:p w14:paraId="276B2293">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color w:val="auto"/>
          <w:sz w:val="32"/>
          <w:szCs w:val="32"/>
        </w:rPr>
      </w:pPr>
      <w:r>
        <w:rPr>
          <w:rFonts w:hint="eastAsia"/>
          <w:color w:val="auto"/>
          <w:sz w:val="32"/>
          <w:szCs w:val="32"/>
          <w:lang w:val="en-US" w:eastAsia="zh-CN"/>
        </w:rPr>
        <w:t>9</w:t>
      </w:r>
      <w:r>
        <w:rPr>
          <w:rFonts w:hint="eastAsia"/>
          <w:color w:val="auto"/>
          <w:sz w:val="32"/>
          <w:szCs w:val="32"/>
        </w:rPr>
        <w:t>、《危险废物收集 贮存 运输技术规范》（HJ2025-2012）；</w:t>
      </w:r>
    </w:p>
    <w:p w14:paraId="4FC4B4FD">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color w:val="auto"/>
          <w:sz w:val="32"/>
          <w:szCs w:val="32"/>
        </w:rPr>
      </w:pPr>
      <w:r>
        <w:rPr>
          <w:rFonts w:hint="eastAsia"/>
          <w:color w:val="auto"/>
          <w:sz w:val="32"/>
          <w:szCs w:val="32"/>
          <w:lang w:val="en-US" w:eastAsia="zh-CN"/>
        </w:rPr>
        <w:t>10</w:t>
      </w:r>
      <w:r>
        <w:rPr>
          <w:rFonts w:hint="eastAsia"/>
          <w:color w:val="auto"/>
          <w:sz w:val="32"/>
          <w:szCs w:val="32"/>
        </w:rPr>
        <w:t>、《一般工业固体废物贮存和填埋污染控制标准》（GB18599-2020）。</w:t>
      </w:r>
    </w:p>
    <w:p w14:paraId="7B93788B">
      <w:pPr>
        <w:pStyle w:val="8"/>
        <w:keepNext w:val="0"/>
        <w:keepLines w:val="0"/>
        <w:pageBreakBefore w:val="0"/>
        <w:widowControl w:val="0"/>
        <w:kinsoku/>
        <w:wordWrap/>
        <w:overflowPunct/>
        <w:topLinePunct w:val="0"/>
        <w:autoSpaceDE/>
        <w:autoSpaceDN/>
        <w:bidi w:val="0"/>
        <w:adjustRightInd w:val="0"/>
        <w:snapToGrid/>
        <w:spacing w:line="560" w:lineRule="exact"/>
        <w:ind w:firstLine="662" w:firstLineChars="207"/>
        <w:textAlignment w:val="baseline"/>
        <w:rPr>
          <w:color w:val="auto"/>
          <w:sz w:val="32"/>
          <w:szCs w:val="32"/>
        </w:rPr>
      </w:pPr>
      <w:r>
        <w:rPr>
          <w:rFonts w:hint="eastAsia"/>
          <w:color w:val="auto"/>
          <w:sz w:val="32"/>
          <w:szCs w:val="32"/>
        </w:rPr>
        <w:t>此复</w:t>
      </w:r>
    </w:p>
    <w:p w14:paraId="09B795C8">
      <w:pPr>
        <w:pStyle w:val="8"/>
        <w:spacing w:line="520" w:lineRule="exact"/>
        <w:ind w:firstLine="662" w:firstLineChars="207"/>
        <w:rPr>
          <w:color w:val="auto"/>
          <w:sz w:val="32"/>
          <w:szCs w:val="32"/>
        </w:rPr>
      </w:pPr>
    </w:p>
    <w:p w14:paraId="0B3A77DA">
      <w:pPr>
        <w:pStyle w:val="8"/>
        <w:spacing w:line="520" w:lineRule="exact"/>
        <w:ind w:firstLine="662" w:firstLineChars="207"/>
        <w:rPr>
          <w:rFonts w:hint="eastAsia"/>
          <w:sz w:val="32"/>
          <w:szCs w:val="32"/>
        </w:rPr>
      </w:pPr>
      <w:r>
        <w:rPr>
          <w:rFonts w:hint="eastAsia"/>
          <w:sz w:val="32"/>
          <w:szCs w:val="32"/>
        </w:rPr>
        <w:t xml:space="preserve">  </w:t>
      </w:r>
    </w:p>
    <w:p w14:paraId="6FBDD503">
      <w:pPr>
        <w:pStyle w:val="8"/>
        <w:spacing w:line="520" w:lineRule="exact"/>
        <w:ind w:firstLine="662" w:firstLineChars="207"/>
        <w:rPr>
          <w:rFonts w:hint="eastAsia"/>
          <w:sz w:val="32"/>
          <w:szCs w:val="32"/>
        </w:rPr>
      </w:pPr>
      <w:r>
        <w:rPr>
          <w:rFonts w:hint="eastAsia"/>
          <w:sz w:val="32"/>
          <w:szCs w:val="32"/>
        </w:rPr>
        <w:t xml:space="preserve">                      202</w:t>
      </w:r>
      <w:r>
        <w:rPr>
          <w:rFonts w:hint="eastAsia"/>
          <w:sz w:val="32"/>
          <w:szCs w:val="32"/>
          <w:lang w:val="en-US" w:eastAsia="zh-CN"/>
        </w:rPr>
        <w:t>5</w:t>
      </w:r>
      <w:r>
        <w:rPr>
          <w:rFonts w:hint="eastAsia"/>
          <w:sz w:val="32"/>
          <w:szCs w:val="32"/>
        </w:rPr>
        <w:t>年1</w:t>
      </w:r>
      <w:r>
        <w:rPr>
          <w:rFonts w:hint="eastAsia"/>
          <w:sz w:val="32"/>
          <w:szCs w:val="32"/>
          <w:lang w:val="en-US" w:eastAsia="zh-CN"/>
        </w:rPr>
        <w:t>2</w:t>
      </w:r>
      <w:r>
        <w:rPr>
          <w:rFonts w:hint="eastAsia"/>
          <w:sz w:val="32"/>
          <w:szCs w:val="32"/>
        </w:rPr>
        <w:t>月</w:t>
      </w:r>
      <w:r>
        <w:rPr>
          <w:rFonts w:hint="eastAsia"/>
          <w:sz w:val="32"/>
          <w:szCs w:val="32"/>
          <w:lang w:val="en-US" w:eastAsia="zh-CN"/>
        </w:rPr>
        <w:t>1</w:t>
      </w:r>
      <w:r>
        <w:rPr>
          <w:rFonts w:hint="eastAsia"/>
          <w:sz w:val="32"/>
          <w:szCs w:val="32"/>
        </w:rPr>
        <w:t xml:space="preserve">日   </w:t>
      </w:r>
    </w:p>
    <w:p w14:paraId="42F5A0FE">
      <w:pPr>
        <w:pStyle w:val="8"/>
        <w:spacing w:line="520" w:lineRule="exact"/>
        <w:ind w:firstLine="662" w:firstLineChars="207"/>
        <w:rPr>
          <w:rFonts w:hint="eastAsia"/>
          <w:sz w:val="32"/>
          <w:szCs w:val="32"/>
        </w:rPr>
      </w:pPr>
    </w:p>
    <w:p w14:paraId="10E822F9">
      <w:pPr>
        <w:pStyle w:val="8"/>
        <w:spacing w:line="520" w:lineRule="exact"/>
        <w:ind w:firstLine="662" w:firstLineChars="207"/>
        <w:rPr>
          <w:rFonts w:hint="eastAsia"/>
          <w:sz w:val="32"/>
          <w:szCs w:val="32"/>
        </w:rPr>
      </w:pPr>
    </w:p>
    <w:p w14:paraId="243AC33C">
      <w:pPr>
        <w:pStyle w:val="8"/>
        <w:spacing w:line="520" w:lineRule="exact"/>
        <w:ind w:firstLine="662" w:firstLineChars="207"/>
        <w:rPr>
          <w:rFonts w:hint="eastAsia"/>
          <w:sz w:val="32"/>
          <w:szCs w:val="32"/>
        </w:rPr>
      </w:pPr>
    </w:p>
    <w:p w14:paraId="0844CBEF">
      <w:pPr>
        <w:pStyle w:val="8"/>
        <w:spacing w:line="520" w:lineRule="exact"/>
        <w:ind w:firstLine="662" w:firstLineChars="207"/>
        <w:rPr>
          <w:rFonts w:hint="eastAsia"/>
          <w:sz w:val="32"/>
          <w:szCs w:val="32"/>
        </w:rPr>
      </w:pPr>
    </w:p>
    <w:p w14:paraId="0DB3CE00">
      <w:pPr>
        <w:pStyle w:val="8"/>
        <w:spacing w:line="520" w:lineRule="exact"/>
        <w:ind w:firstLine="662" w:firstLineChars="207"/>
        <w:rPr>
          <w:rFonts w:hint="eastAsia"/>
          <w:sz w:val="32"/>
          <w:szCs w:val="32"/>
        </w:rPr>
      </w:pPr>
    </w:p>
    <w:p w14:paraId="04DD6526">
      <w:pPr>
        <w:pStyle w:val="8"/>
        <w:spacing w:line="520" w:lineRule="exact"/>
        <w:ind w:firstLine="662" w:firstLineChars="207"/>
        <w:rPr>
          <w:sz w:val="32"/>
          <w:szCs w:val="32"/>
        </w:rPr>
      </w:pPr>
    </w:p>
    <w:p w14:paraId="338F875B">
      <w:r>
        <w:rPr>
          <w:rFonts w:eastAsia="黑体"/>
        </w:rPr>
        <w:t>主题词：</w:t>
      </w:r>
      <w:r>
        <w:t>环境影响 报告表 批复                （共印</w:t>
      </w:r>
      <w:r>
        <w:rPr>
          <w:rFonts w:hint="eastAsia"/>
        </w:rPr>
        <w:t>3</w:t>
      </w:r>
      <w: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1242"/>
        <w:gridCol w:w="3922"/>
        <w:gridCol w:w="3890"/>
      </w:tblGrid>
      <w:tr w14:paraId="322EE045">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8" w:space="0"/>
              <w:bottom w:val="single" w:color="auto" w:sz="8" w:space="0"/>
            </w:tcBorders>
          </w:tcPr>
          <w:p w14:paraId="0E4E9010">
            <w:pPr>
              <w:ind w:right="160"/>
              <w:jc w:val="right"/>
              <w:rPr>
                <w:rFonts w:eastAsia="黑体"/>
              </w:rPr>
            </w:pPr>
            <w:r>
              <w:rPr>
                <w:rFonts w:eastAsia="黑体"/>
              </w:rPr>
              <w:t>抄送：</w:t>
            </w:r>
          </w:p>
        </w:tc>
        <w:tc>
          <w:tcPr>
            <w:tcW w:w="7812" w:type="dxa"/>
            <w:gridSpan w:val="2"/>
            <w:tcBorders>
              <w:top w:val="single" w:color="auto" w:sz="8" w:space="0"/>
              <w:bottom w:val="single" w:color="auto" w:sz="8" w:space="0"/>
            </w:tcBorders>
          </w:tcPr>
          <w:p w14:paraId="5492AB60">
            <w:r>
              <w:t>天津市滨海新区</w:t>
            </w:r>
            <w:r>
              <w:rPr>
                <w:rFonts w:hint="eastAsia"/>
              </w:rPr>
              <w:t>生态</w:t>
            </w:r>
            <w:r>
              <w:t>环境局</w:t>
            </w:r>
          </w:p>
        </w:tc>
      </w:tr>
      <w:tr w14:paraId="006A4DA4">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5164" w:type="dxa"/>
            <w:gridSpan w:val="2"/>
            <w:tcBorders>
              <w:top w:val="single" w:color="auto" w:sz="8" w:space="0"/>
            </w:tcBorders>
          </w:tcPr>
          <w:p w14:paraId="537AD215">
            <w:r>
              <w:rPr>
                <w:rFonts w:hint="eastAsia"/>
              </w:rPr>
              <w:t>天津市滨海新区行政审批局</w:t>
            </w:r>
          </w:p>
        </w:tc>
        <w:tc>
          <w:tcPr>
            <w:tcW w:w="3890" w:type="dxa"/>
            <w:tcBorders>
              <w:top w:val="single" w:color="auto" w:sz="8" w:space="0"/>
            </w:tcBorders>
          </w:tcPr>
          <w:p w14:paraId="01B180C9">
            <w:pPr>
              <w:wordWrap w:val="0"/>
              <w:ind w:right="320" w:rightChars="100"/>
              <w:jc w:val="right"/>
            </w:pPr>
            <w:r>
              <w:t>20</w:t>
            </w:r>
            <w:r>
              <w:rPr>
                <w:rFonts w:hint="eastAsia"/>
              </w:rPr>
              <w:t>2</w:t>
            </w:r>
            <w:r>
              <w:rPr>
                <w:rFonts w:hint="eastAsia"/>
                <w:lang w:val="en-US" w:eastAsia="zh-CN"/>
              </w:rPr>
              <w:t>5</w:t>
            </w:r>
            <w:r>
              <w:t>年</w:t>
            </w:r>
            <w:r>
              <w:rPr>
                <w:rFonts w:hint="eastAsia"/>
              </w:rPr>
              <w:t>1</w:t>
            </w:r>
            <w:r>
              <w:rPr>
                <w:rFonts w:hint="eastAsia"/>
                <w:color w:val="auto"/>
                <w:sz w:val="32"/>
                <w:szCs w:val="32"/>
                <w:lang w:val="en-US" w:eastAsia="zh-CN"/>
              </w:rPr>
              <w:t>2</w:t>
            </w:r>
            <w:r>
              <w:rPr>
                <w:rFonts w:hint="eastAsia"/>
              </w:rPr>
              <w:t>月</w:t>
            </w:r>
            <w:r>
              <w:rPr>
                <w:rFonts w:hint="eastAsia"/>
                <w:lang w:val="en-US" w:eastAsia="zh-CN"/>
              </w:rPr>
              <w:t>1</w:t>
            </w:r>
            <w:r>
              <w:t>日印发</w:t>
            </w:r>
          </w:p>
        </w:tc>
      </w:tr>
    </w:tbl>
    <w:p w14:paraId="1BA16B92"/>
    <w:sectPr>
      <w:headerReference r:id="rId3" w:type="default"/>
      <w:footerReference r:id="rId4"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9765"/>
    </w:sdtPr>
    <w:sdtContent>
      <w:p w14:paraId="00A36536">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05B7148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07A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4B9D"/>
    <w:rsid w:val="000000ED"/>
    <w:rsid w:val="00003187"/>
    <w:rsid w:val="00005129"/>
    <w:rsid w:val="00012316"/>
    <w:rsid w:val="00017EFA"/>
    <w:rsid w:val="00021047"/>
    <w:rsid w:val="00027F7A"/>
    <w:rsid w:val="00032953"/>
    <w:rsid w:val="000451A7"/>
    <w:rsid w:val="000453B7"/>
    <w:rsid w:val="000548CC"/>
    <w:rsid w:val="00062FED"/>
    <w:rsid w:val="000634F1"/>
    <w:rsid w:val="00063BE2"/>
    <w:rsid w:val="000657B0"/>
    <w:rsid w:val="00077ADA"/>
    <w:rsid w:val="00080A98"/>
    <w:rsid w:val="00085EF5"/>
    <w:rsid w:val="0008666F"/>
    <w:rsid w:val="00091C2C"/>
    <w:rsid w:val="000931B0"/>
    <w:rsid w:val="000931CA"/>
    <w:rsid w:val="0009352D"/>
    <w:rsid w:val="00097DA8"/>
    <w:rsid w:val="000D45D0"/>
    <w:rsid w:val="000D754B"/>
    <w:rsid w:val="000E069B"/>
    <w:rsid w:val="000E209C"/>
    <w:rsid w:val="000F7EEF"/>
    <w:rsid w:val="001040CF"/>
    <w:rsid w:val="0011736F"/>
    <w:rsid w:val="00127AE7"/>
    <w:rsid w:val="00141E18"/>
    <w:rsid w:val="00154AA1"/>
    <w:rsid w:val="00155A9A"/>
    <w:rsid w:val="001602A8"/>
    <w:rsid w:val="001708D6"/>
    <w:rsid w:val="00185818"/>
    <w:rsid w:val="0019193B"/>
    <w:rsid w:val="001A21BB"/>
    <w:rsid w:val="001B066E"/>
    <w:rsid w:val="001C0D5B"/>
    <w:rsid w:val="001C71C4"/>
    <w:rsid w:val="001D55C1"/>
    <w:rsid w:val="001E44A6"/>
    <w:rsid w:val="001F2E07"/>
    <w:rsid w:val="001F3EDC"/>
    <w:rsid w:val="002014D5"/>
    <w:rsid w:val="00203B29"/>
    <w:rsid w:val="002102C7"/>
    <w:rsid w:val="00210B83"/>
    <w:rsid w:val="0024430E"/>
    <w:rsid w:val="00255939"/>
    <w:rsid w:val="00256124"/>
    <w:rsid w:val="00261B2D"/>
    <w:rsid w:val="0027460C"/>
    <w:rsid w:val="00275DD8"/>
    <w:rsid w:val="00282601"/>
    <w:rsid w:val="002858A4"/>
    <w:rsid w:val="00292B28"/>
    <w:rsid w:val="002A61D2"/>
    <w:rsid w:val="002A6EBE"/>
    <w:rsid w:val="002B607C"/>
    <w:rsid w:val="002D2E2A"/>
    <w:rsid w:val="002D4DA6"/>
    <w:rsid w:val="002D545C"/>
    <w:rsid w:val="002D7082"/>
    <w:rsid w:val="002D76B8"/>
    <w:rsid w:val="002E401B"/>
    <w:rsid w:val="002E692F"/>
    <w:rsid w:val="00310B46"/>
    <w:rsid w:val="00321A8B"/>
    <w:rsid w:val="00323CED"/>
    <w:rsid w:val="003276C0"/>
    <w:rsid w:val="00330A22"/>
    <w:rsid w:val="00346E41"/>
    <w:rsid w:val="003631B1"/>
    <w:rsid w:val="00371D93"/>
    <w:rsid w:val="00373B1A"/>
    <w:rsid w:val="00374E8D"/>
    <w:rsid w:val="00380065"/>
    <w:rsid w:val="00395C48"/>
    <w:rsid w:val="003A0AF9"/>
    <w:rsid w:val="003A397F"/>
    <w:rsid w:val="003A3EBD"/>
    <w:rsid w:val="003C657C"/>
    <w:rsid w:val="003D7B4C"/>
    <w:rsid w:val="003E18B7"/>
    <w:rsid w:val="003F7931"/>
    <w:rsid w:val="0040020E"/>
    <w:rsid w:val="00400DD2"/>
    <w:rsid w:val="00401705"/>
    <w:rsid w:val="00404088"/>
    <w:rsid w:val="0041139B"/>
    <w:rsid w:val="004206D8"/>
    <w:rsid w:val="0042398D"/>
    <w:rsid w:val="00427887"/>
    <w:rsid w:val="004312E2"/>
    <w:rsid w:val="00431B4A"/>
    <w:rsid w:val="00443020"/>
    <w:rsid w:val="00447B9B"/>
    <w:rsid w:val="00475631"/>
    <w:rsid w:val="004831E2"/>
    <w:rsid w:val="00495B78"/>
    <w:rsid w:val="004963AE"/>
    <w:rsid w:val="004969DE"/>
    <w:rsid w:val="004A5F7D"/>
    <w:rsid w:val="004B1790"/>
    <w:rsid w:val="004B1B4C"/>
    <w:rsid w:val="004B1D77"/>
    <w:rsid w:val="004B6554"/>
    <w:rsid w:val="004B6CF6"/>
    <w:rsid w:val="004D5384"/>
    <w:rsid w:val="004D542A"/>
    <w:rsid w:val="00503728"/>
    <w:rsid w:val="00514D56"/>
    <w:rsid w:val="00520063"/>
    <w:rsid w:val="00535942"/>
    <w:rsid w:val="005411CD"/>
    <w:rsid w:val="005413E6"/>
    <w:rsid w:val="005537B6"/>
    <w:rsid w:val="00585DE1"/>
    <w:rsid w:val="005860F7"/>
    <w:rsid w:val="00597D45"/>
    <w:rsid w:val="005A58A9"/>
    <w:rsid w:val="005A6D2D"/>
    <w:rsid w:val="005B1982"/>
    <w:rsid w:val="005B2AAF"/>
    <w:rsid w:val="005B3531"/>
    <w:rsid w:val="005C641A"/>
    <w:rsid w:val="005D14A8"/>
    <w:rsid w:val="005E1F3E"/>
    <w:rsid w:val="005E4B9D"/>
    <w:rsid w:val="005F2674"/>
    <w:rsid w:val="005F28FD"/>
    <w:rsid w:val="005F4F6F"/>
    <w:rsid w:val="00611936"/>
    <w:rsid w:val="00622194"/>
    <w:rsid w:val="00635419"/>
    <w:rsid w:val="00637D80"/>
    <w:rsid w:val="00641676"/>
    <w:rsid w:val="00644BE7"/>
    <w:rsid w:val="00645767"/>
    <w:rsid w:val="0065312E"/>
    <w:rsid w:val="00660EAC"/>
    <w:rsid w:val="006618CE"/>
    <w:rsid w:val="00672AB5"/>
    <w:rsid w:val="00673A5F"/>
    <w:rsid w:val="006814DD"/>
    <w:rsid w:val="00687F41"/>
    <w:rsid w:val="0069481E"/>
    <w:rsid w:val="006952E6"/>
    <w:rsid w:val="00695C88"/>
    <w:rsid w:val="006A3C27"/>
    <w:rsid w:val="006A3CA1"/>
    <w:rsid w:val="006B0572"/>
    <w:rsid w:val="006B3C74"/>
    <w:rsid w:val="006C5EDA"/>
    <w:rsid w:val="006C666D"/>
    <w:rsid w:val="006C6966"/>
    <w:rsid w:val="006C7509"/>
    <w:rsid w:val="006D0535"/>
    <w:rsid w:val="006D323D"/>
    <w:rsid w:val="006F68B5"/>
    <w:rsid w:val="0070112D"/>
    <w:rsid w:val="00706124"/>
    <w:rsid w:val="00722223"/>
    <w:rsid w:val="0073526A"/>
    <w:rsid w:val="00745C96"/>
    <w:rsid w:val="00746C49"/>
    <w:rsid w:val="00756A6B"/>
    <w:rsid w:val="00764376"/>
    <w:rsid w:val="0076746E"/>
    <w:rsid w:val="0077289E"/>
    <w:rsid w:val="00783770"/>
    <w:rsid w:val="007838F6"/>
    <w:rsid w:val="00785125"/>
    <w:rsid w:val="007937C9"/>
    <w:rsid w:val="007A22B2"/>
    <w:rsid w:val="007A42BF"/>
    <w:rsid w:val="007C0570"/>
    <w:rsid w:val="007C49A0"/>
    <w:rsid w:val="007C5CCE"/>
    <w:rsid w:val="007D6512"/>
    <w:rsid w:val="007D6F6C"/>
    <w:rsid w:val="007F2D5B"/>
    <w:rsid w:val="007F3A11"/>
    <w:rsid w:val="007F3BEB"/>
    <w:rsid w:val="007F45F1"/>
    <w:rsid w:val="007F7F4B"/>
    <w:rsid w:val="00812D32"/>
    <w:rsid w:val="008137F5"/>
    <w:rsid w:val="00813E40"/>
    <w:rsid w:val="00836613"/>
    <w:rsid w:val="008427EF"/>
    <w:rsid w:val="00854762"/>
    <w:rsid w:val="00870053"/>
    <w:rsid w:val="0088082E"/>
    <w:rsid w:val="00880ACF"/>
    <w:rsid w:val="0089128F"/>
    <w:rsid w:val="008B0839"/>
    <w:rsid w:val="008B3585"/>
    <w:rsid w:val="008B64A3"/>
    <w:rsid w:val="008B7F60"/>
    <w:rsid w:val="008E3137"/>
    <w:rsid w:val="008E337A"/>
    <w:rsid w:val="008E7A7C"/>
    <w:rsid w:val="00902ADA"/>
    <w:rsid w:val="00915B0E"/>
    <w:rsid w:val="009329D7"/>
    <w:rsid w:val="00932A5B"/>
    <w:rsid w:val="0093523F"/>
    <w:rsid w:val="009405B8"/>
    <w:rsid w:val="00943995"/>
    <w:rsid w:val="00951076"/>
    <w:rsid w:val="0095580B"/>
    <w:rsid w:val="00956DC8"/>
    <w:rsid w:val="009600CF"/>
    <w:rsid w:val="00960614"/>
    <w:rsid w:val="00962EEA"/>
    <w:rsid w:val="00971CA7"/>
    <w:rsid w:val="00975A90"/>
    <w:rsid w:val="00983896"/>
    <w:rsid w:val="00990C13"/>
    <w:rsid w:val="009A01DB"/>
    <w:rsid w:val="009A26A1"/>
    <w:rsid w:val="009A38D1"/>
    <w:rsid w:val="009A6638"/>
    <w:rsid w:val="009B3B1A"/>
    <w:rsid w:val="009B7077"/>
    <w:rsid w:val="009C2978"/>
    <w:rsid w:val="009D0145"/>
    <w:rsid w:val="009D27F7"/>
    <w:rsid w:val="009D5CD3"/>
    <w:rsid w:val="009E34EE"/>
    <w:rsid w:val="00A144E3"/>
    <w:rsid w:val="00A146D6"/>
    <w:rsid w:val="00A17D40"/>
    <w:rsid w:val="00A270E7"/>
    <w:rsid w:val="00A274B5"/>
    <w:rsid w:val="00A373B9"/>
    <w:rsid w:val="00A46A05"/>
    <w:rsid w:val="00A47243"/>
    <w:rsid w:val="00A51802"/>
    <w:rsid w:val="00A6121B"/>
    <w:rsid w:val="00A6581B"/>
    <w:rsid w:val="00A820B7"/>
    <w:rsid w:val="00A84BFF"/>
    <w:rsid w:val="00A87B33"/>
    <w:rsid w:val="00A87B5F"/>
    <w:rsid w:val="00A947C4"/>
    <w:rsid w:val="00AA23AE"/>
    <w:rsid w:val="00AA52FC"/>
    <w:rsid w:val="00AA76F2"/>
    <w:rsid w:val="00AB1611"/>
    <w:rsid w:val="00AB1BC3"/>
    <w:rsid w:val="00AB5754"/>
    <w:rsid w:val="00AB6CFA"/>
    <w:rsid w:val="00AC20B9"/>
    <w:rsid w:val="00AD0CB6"/>
    <w:rsid w:val="00AD4B10"/>
    <w:rsid w:val="00AD5519"/>
    <w:rsid w:val="00AD7E0F"/>
    <w:rsid w:val="00AE2071"/>
    <w:rsid w:val="00AE2FBB"/>
    <w:rsid w:val="00AE3626"/>
    <w:rsid w:val="00AE466E"/>
    <w:rsid w:val="00AF1EA3"/>
    <w:rsid w:val="00AF6F47"/>
    <w:rsid w:val="00B01A96"/>
    <w:rsid w:val="00B02152"/>
    <w:rsid w:val="00B042B9"/>
    <w:rsid w:val="00B067C2"/>
    <w:rsid w:val="00B06C6D"/>
    <w:rsid w:val="00B13FB6"/>
    <w:rsid w:val="00B31641"/>
    <w:rsid w:val="00B37379"/>
    <w:rsid w:val="00B56AAE"/>
    <w:rsid w:val="00B57588"/>
    <w:rsid w:val="00B70DC0"/>
    <w:rsid w:val="00B739DA"/>
    <w:rsid w:val="00B7639D"/>
    <w:rsid w:val="00B84011"/>
    <w:rsid w:val="00B91E96"/>
    <w:rsid w:val="00B92217"/>
    <w:rsid w:val="00BA02E4"/>
    <w:rsid w:val="00BA2C98"/>
    <w:rsid w:val="00BC1A3F"/>
    <w:rsid w:val="00BD70C1"/>
    <w:rsid w:val="00BE0AAC"/>
    <w:rsid w:val="00BE38C8"/>
    <w:rsid w:val="00BE56E3"/>
    <w:rsid w:val="00BF5079"/>
    <w:rsid w:val="00BF708D"/>
    <w:rsid w:val="00BF77C8"/>
    <w:rsid w:val="00C11B57"/>
    <w:rsid w:val="00C2482D"/>
    <w:rsid w:val="00C24C19"/>
    <w:rsid w:val="00C26759"/>
    <w:rsid w:val="00C3090B"/>
    <w:rsid w:val="00C572DE"/>
    <w:rsid w:val="00C71D07"/>
    <w:rsid w:val="00C74B54"/>
    <w:rsid w:val="00C76135"/>
    <w:rsid w:val="00C76B70"/>
    <w:rsid w:val="00C83698"/>
    <w:rsid w:val="00C93BD6"/>
    <w:rsid w:val="00CA5DF8"/>
    <w:rsid w:val="00CD60AB"/>
    <w:rsid w:val="00CE3A5A"/>
    <w:rsid w:val="00CE50C2"/>
    <w:rsid w:val="00CE727D"/>
    <w:rsid w:val="00CE7D57"/>
    <w:rsid w:val="00CF2E32"/>
    <w:rsid w:val="00D04168"/>
    <w:rsid w:val="00D07CB4"/>
    <w:rsid w:val="00D2190F"/>
    <w:rsid w:val="00D23537"/>
    <w:rsid w:val="00D43EFC"/>
    <w:rsid w:val="00D4543C"/>
    <w:rsid w:val="00D5178D"/>
    <w:rsid w:val="00D51A16"/>
    <w:rsid w:val="00D52B0E"/>
    <w:rsid w:val="00D60F28"/>
    <w:rsid w:val="00D74BAE"/>
    <w:rsid w:val="00D92D22"/>
    <w:rsid w:val="00D949FB"/>
    <w:rsid w:val="00D950F8"/>
    <w:rsid w:val="00DA353D"/>
    <w:rsid w:val="00DB4BBF"/>
    <w:rsid w:val="00DC203A"/>
    <w:rsid w:val="00DC4A11"/>
    <w:rsid w:val="00DD25A3"/>
    <w:rsid w:val="00DE6716"/>
    <w:rsid w:val="00DE780B"/>
    <w:rsid w:val="00DF4F33"/>
    <w:rsid w:val="00E01196"/>
    <w:rsid w:val="00E0194D"/>
    <w:rsid w:val="00E01CA6"/>
    <w:rsid w:val="00E07241"/>
    <w:rsid w:val="00E163F4"/>
    <w:rsid w:val="00E2178A"/>
    <w:rsid w:val="00E22F90"/>
    <w:rsid w:val="00E2523D"/>
    <w:rsid w:val="00E312EA"/>
    <w:rsid w:val="00E3414F"/>
    <w:rsid w:val="00E41133"/>
    <w:rsid w:val="00E504D9"/>
    <w:rsid w:val="00E50646"/>
    <w:rsid w:val="00E574A1"/>
    <w:rsid w:val="00E628F1"/>
    <w:rsid w:val="00E63B55"/>
    <w:rsid w:val="00E7111F"/>
    <w:rsid w:val="00E73A6B"/>
    <w:rsid w:val="00E74BCF"/>
    <w:rsid w:val="00E765CB"/>
    <w:rsid w:val="00E76CAF"/>
    <w:rsid w:val="00E805A6"/>
    <w:rsid w:val="00E821A2"/>
    <w:rsid w:val="00E9501E"/>
    <w:rsid w:val="00E95586"/>
    <w:rsid w:val="00EA7883"/>
    <w:rsid w:val="00EC51BA"/>
    <w:rsid w:val="00EE1F06"/>
    <w:rsid w:val="00EF29AB"/>
    <w:rsid w:val="00F142DC"/>
    <w:rsid w:val="00F14DE5"/>
    <w:rsid w:val="00F17DCB"/>
    <w:rsid w:val="00F20059"/>
    <w:rsid w:val="00F2273C"/>
    <w:rsid w:val="00F32BA5"/>
    <w:rsid w:val="00F331BC"/>
    <w:rsid w:val="00F44931"/>
    <w:rsid w:val="00F45431"/>
    <w:rsid w:val="00F51346"/>
    <w:rsid w:val="00F62653"/>
    <w:rsid w:val="00F64CF9"/>
    <w:rsid w:val="00F74308"/>
    <w:rsid w:val="00F76D1A"/>
    <w:rsid w:val="00F85504"/>
    <w:rsid w:val="00FC4504"/>
    <w:rsid w:val="00FD223C"/>
    <w:rsid w:val="00FF1C83"/>
    <w:rsid w:val="00FF61EA"/>
    <w:rsid w:val="01740FA6"/>
    <w:rsid w:val="03277AEE"/>
    <w:rsid w:val="07B846B4"/>
    <w:rsid w:val="09047D11"/>
    <w:rsid w:val="09BF05F1"/>
    <w:rsid w:val="0A9405E9"/>
    <w:rsid w:val="0EBF5D6C"/>
    <w:rsid w:val="10C40B26"/>
    <w:rsid w:val="11860AFB"/>
    <w:rsid w:val="14645659"/>
    <w:rsid w:val="16540243"/>
    <w:rsid w:val="16C2025A"/>
    <w:rsid w:val="17C66775"/>
    <w:rsid w:val="18770142"/>
    <w:rsid w:val="19A02B60"/>
    <w:rsid w:val="1B067D19"/>
    <w:rsid w:val="1C5C5484"/>
    <w:rsid w:val="21FA61F2"/>
    <w:rsid w:val="22503B80"/>
    <w:rsid w:val="22EA3CC3"/>
    <w:rsid w:val="286031DD"/>
    <w:rsid w:val="298F17BF"/>
    <w:rsid w:val="2BE42BD3"/>
    <w:rsid w:val="2CA67E37"/>
    <w:rsid w:val="2D0639F6"/>
    <w:rsid w:val="2E755089"/>
    <w:rsid w:val="30F607F1"/>
    <w:rsid w:val="317136CD"/>
    <w:rsid w:val="31AC24EA"/>
    <w:rsid w:val="32B56A7F"/>
    <w:rsid w:val="366337ED"/>
    <w:rsid w:val="3853620B"/>
    <w:rsid w:val="3C137C90"/>
    <w:rsid w:val="3FD3227D"/>
    <w:rsid w:val="45933C72"/>
    <w:rsid w:val="472C15E5"/>
    <w:rsid w:val="4A414987"/>
    <w:rsid w:val="4B4345C1"/>
    <w:rsid w:val="4C3B6976"/>
    <w:rsid w:val="4D0F4BBA"/>
    <w:rsid w:val="51DC2670"/>
    <w:rsid w:val="51EB616D"/>
    <w:rsid w:val="542813DF"/>
    <w:rsid w:val="555761E8"/>
    <w:rsid w:val="57904998"/>
    <w:rsid w:val="5C690FBE"/>
    <w:rsid w:val="5D850685"/>
    <w:rsid w:val="5FCA5CA8"/>
    <w:rsid w:val="61593D0C"/>
    <w:rsid w:val="621C488E"/>
    <w:rsid w:val="623B37C7"/>
    <w:rsid w:val="63D53BEC"/>
    <w:rsid w:val="68EB2C3F"/>
    <w:rsid w:val="68EC03E8"/>
    <w:rsid w:val="6E5B3674"/>
    <w:rsid w:val="6F0736D9"/>
    <w:rsid w:val="6F9B0AD8"/>
    <w:rsid w:val="76817CF6"/>
    <w:rsid w:val="7B8A39E9"/>
    <w:rsid w:val="7E126DF8"/>
    <w:rsid w:val="7FA676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eastAsia="仿宋_GB2312"/>
      <w:kern w:val="2"/>
      <w:sz w:val="18"/>
      <w:szCs w:val="18"/>
    </w:rPr>
  </w:style>
  <w:style w:type="paragraph" w:customStyle="1" w:styleId="8">
    <w:name w:val="中文报告书样式"/>
    <w:basedOn w:val="1"/>
    <w:link w:val="9"/>
    <w:qFormat/>
    <w:uiPriority w:val="0"/>
    <w:pPr>
      <w:adjustRightInd w:val="0"/>
      <w:spacing w:line="420" w:lineRule="atLeast"/>
      <w:jc w:val="left"/>
      <w:textAlignment w:val="baseline"/>
    </w:pPr>
    <w:rPr>
      <w:rFonts w:ascii="Times New Roman" w:hAnsi="Times New Roman"/>
      <w:kern w:val="24"/>
      <w:sz w:val="24"/>
      <w:szCs w:val="20"/>
    </w:rPr>
  </w:style>
  <w:style w:type="character" w:customStyle="1" w:styleId="9">
    <w:name w:val="中文报告书样式 Char1"/>
    <w:basedOn w:val="6"/>
    <w:link w:val="8"/>
    <w:qFormat/>
    <w:locked/>
    <w:uiPriority w:val="0"/>
    <w:rPr>
      <w:rFonts w:ascii="Times New Roman" w:hAnsi="Times New Roman" w:eastAsia="仿宋_GB2312"/>
      <w:kern w:val="24"/>
      <w:sz w:val="24"/>
    </w:rPr>
  </w:style>
  <w:style w:type="character" w:customStyle="1" w:styleId="10">
    <w:name w:val="批注框文本 Char"/>
    <w:basedOn w:val="6"/>
    <w:link w:val="2"/>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371</Words>
  <Characters>2117</Characters>
  <Lines>17</Lines>
  <Paragraphs>4</Paragraphs>
  <TotalTime>0</TotalTime>
  <ScaleCrop>false</ScaleCrop>
  <LinksUpToDate>false</LinksUpToDate>
  <CharactersWithSpaces>2484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2023-01-12T07:42:00Z</dcterms:created>
  <dc:creator>Administrator</dc:creator>
  <cp:lastModifiedBy>dell</cp:lastModifiedBy>
  <cp:lastPrinted>2025-11-20T05:53:00Z</cp:lastPrinted>
  <dcterms:modified xsi:type="dcterms:W3CDTF">2025-12-04T05:47:32Z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8E4A2F5105374C2EA5EBF98F979C2CBE_13</vt:lpwstr>
  </property>
</Properties>
</file>