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AC045">
      <w:pPr>
        <w:rPr>
          <w:rFonts w:ascii="仿宋_GB2312" w:eastAsia="仿宋_GB2312"/>
          <w:sz w:val="32"/>
          <w:szCs w:val="32"/>
        </w:rPr>
      </w:pPr>
    </w:p>
    <w:p w14:paraId="3DE55021">
      <w:pPr>
        <w:rPr>
          <w:rFonts w:ascii="仿宋_GB2312" w:eastAsia="仿宋_GB2312"/>
          <w:sz w:val="32"/>
          <w:szCs w:val="32"/>
        </w:rPr>
      </w:pPr>
    </w:p>
    <w:p w14:paraId="2EE58E1F">
      <w:pPr>
        <w:rPr>
          <w:rFonts w:ascii="仿宋_GB2312" w:eastAsia="仿宋_GB2312"/>
          <w:sz w:val="32"/>
          <w:szCs w:val="32"/>
        </w:rPr>
      </w:pPr>
    </w:p>
    <w:p w14:paraId="6BEAEF3E">
      <w:pPr>
        <w:spacing w:line="360" w:lineRule="auto"/>
        <w:jc w:val="center"/>
        <w:rPr>
          <w:rFonts w:ascii="仿宋_GB2312" w:eastAsia="仿宋_GB2312"/>
          <w:sz w:val="32"/>
          <w:szCs w:val="32"/>
        </w:rPr>
      </w:pPr>
    </w:p>
    <w:p w14:paraId="48844273">
      <w:pPr>
        <w:jc w:val="center"/>
        <w:rPr>
          <w:rFonts w:hint="default" w:ascii="Times New Roman" w:hAnsi="Times New Roman" w:eastAsia="仿宋_GB2312" w:cs="Times New Roman"/>
          <w:sz w:val="32"/>
          <w:szCs w:val="32"/>
        </w:rPr>
      </w:pPr>
    </w:p>
    <w:p w14:paraId="57B05B65">
      <w:pPr>
        <w:jc w:val="center"/>
        <w:rPr>
          <w:rFonts w:ascii="仿宋_GB2312" w:eastAsia="仿宋_GB2312"/>
          <w:sz w:val="32"/>
          <w:szCs w:val="32"/>
        </w:rPr>
      </w:pPr>
      <w:bookmarkStart w:id="0" w:name="_GoBack"/>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269</w:t>
      </w:r>
      <w:r>
        <w:rPr>
          <w:rFonts w:hint="default" w:ascii="Times New Roman" w:hAnsi="Times New Roman" w:eastAsia="仿宋_GB2312" w:cs="Times New Roman"/>
          <w:sz w:val="32"/>
          <w:szCs w:val="32"/>
        </w:rPr>
        <w:t>号</w:t>
      </w:r>
    </w:p>
    <w:bookmarkEnd w:id="0"/>
    <w:p w14:paraId="2CE1814A">
      <w:pPr>
        <w:rPr>
          <w:rFonts w:hint="eastAsia" w:ascii="Times New Roman" w:hAnsi="Times New Roman" w:eastAsia="仿宋_GB2312" w:cs="Times New Roman"/>
          <w:kern w:val="2"/>
          <w:sz w:val="32"/>
          <w:szCs w:val="32"/>
          <w:lang w:val="en-US" w:eastAsia="zh-CN" w:bidi="ar-SA"/>
        </w:rPr>
      </w:pPr>
    </w:p>
    <w:p w14:paraId="1A47C2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（项目代码：2</w:t>
      </w:r>
      <w:r>
        <w:rPr>
          <w:rFonts w:hint="eastAsia" w:eastAsia="仿宋_GB2312" w:cs="Times New Roman"/>
          <w:kern w:val="2"/>
          <w:sz w:val="32"/>
          <w:szCs w:val="32"/>
          <w:lang w:val="en-US" w:eastAsia="zh-CN" w:bidi="ar-SA"/>
        </w:rPr>
        <w:t>508</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120116</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89</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05</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211077</w:t>
      </w:r>
      <w:r>
        <w:rPr>
          <w:rFonts w:hint="eastAsia" w:ascii="Times New Roman" w:hAnsi="Times New Roman" w:eastAsia="仿宋_GB2312" w:cs="Times New Roman"/>
          <w:kern w:val="2"/>
          <w:sz w:val="32"/>
          <w:szCs w:val="32"/>
          <w:lang w:val="en-US" w:eastAsia="zh-CN" w:bidi="ar-SA"/>
        </w:rPr>
        <w:t>）</w:t>
      </w:r>
    </w:p>
    <w:p w14:paraId="66911BFE">
      <w:pPr>
        <w:pStyle w:val="2"/>
        <w:keepNext/>
        <w:keepLines/>
        <w:pageBreakBefore w:val="0"/>
        <w:widowControl w:val="0"/>
        <w:kinsoku/>
        <w:wordWrap/>
        <w:overflowPunct/>
        <w:topLinePunct w:val="0"/>
        <w:autoSpaceDE/>
        <w:autoSpaceDN/>
        <w:bidi w:val="0"/>
        <w:adjustRightInd/>
        <w:snapToGrid/>
        <w:spacing w:line="580" w:lineRule="exact"/>
        <w:textAlignment w:val="auto"/>
        <w:outlineLvl w:val="0"/>
        <w:rPr>
          <w:rFonts w:hint="eastAsia"/>
          <w:lang w:val="en-US" w:eastAsia="zh-CN"/>
        </w:rPr>
      </w:pPr>
    </w:p>
    <w:p w14:paraId="7FCA5725">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color w:val="000000"/>
          <w:sz w:val="44"/>
        </w:rPr>
      </w:pPr>
      <w:r>
        <w:rPr>
          <w:rFonts w:hint="eastAsia" w:ascii="方正小标宋简体" w:hAnsi="方正小标宋简体" w:eastAsia="方正小标宋简体" w:cs="方正小标宋简体"/>
          <w:color w:val="000000"/>
          <w:sz w:val="44"/>
        </w:rPr>
        <w:t>关于中海油销售天津有限公司滨海新区</w:t>
      </w:r>
    </w:p>
    <w:p w14:paraId="3C3CB80C">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color w:val="000000"/>
          <w:sz w:val="44"/>
        </w:rPr>
      </w:pPr>
      <w:r>
        <w:rPr>
          <w:rFonts w:hint="eastAsia" w:ascii="方正小标宋简体" w:hAnsi="方正小标宋简体" w:eastAsia="方正小标宋简体" w:cs="方正小标宋简体"/>
          <w:color w:val="000000"/>
          <w:sz w:val="44"/>
        </w:rPr>
        <w:t>东沽石油南路加油站改扩建项目</w:t>
      </w:r>
    </w:p>
    <w:p w14:paraId="7CF6A1D0">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outlineLvl w:val="9"/>
        <w:rPr>
          <w:rFonts w:hint="eastAsia" w:ascii="黑体" w:hAnsi="黑体" w:eastAsia="黑体" w:cs="黑体"/>
          <w:color w:val="000000"/>
          <w:sz w:val="44"/>
          <w:lang w:val="en-US" w:eastAsia="zh-CN"/>
        </w:rPr>
      </w:pPr>
      <w:r>
        <w:rPr>
          <w:rFonts w:hint="eastAsia" w:ascii="方正小标宋简体" w:hAnsi="方正小标宋简体" w:eastAsia="方正小标宋简体" w:cs="方正小标宋简体"/>
          <w:color w:val="000000"/>
          <w:sz w:val="44"/>
        </w:rPr>
        <w:t>环境影响报告表的批复</w:t>
      </w:r>
    </w:p>
    <w:p w14:paraId="71F65A92">
      <w:pPr>
        <w:spacing w:line="0" w:lineRule="atLeast"/>
        <w:jc w:val="center"/>
        <w:rPr>
          <w:rFonts w:ascii="宋体" w:hAnsi="宋体"/>
          <w:b/>
          <w:color w:val="000000"/>
          <w:sz w:val="21"/>
          <w:szCs w:val="21"/>
        </w:rPr>
      </w:pPr>
    </w:p>
    <w:p w14:paraId="49A4E5BE">
      <w:pPr>
        <w:pStyle w:val="16"/>
        <w:pageBreakBefore w:val="0"/>
        <w:widowControl w:val="0"/>
        <w:kinsoku/>
        <w:wordWrap/>
        <w:overflowPunct/>
        <w:topLinePunct w:val="0"/>
        <w:autoSpaceDE/>
        <w:autoSpaceDN/>
        <w:bidi w:val="0"/>
        <w:snapToGrid/>
        <w:spacing w:line="600" w:lineRule="exact"/>
        <w:jc w:val="both"/>
        <w:rPr>
          <w:rFonts w:eastAsia="仿宋_GB2312"/>
          <w:sz w:val="32"/>
          <w:szCs w:val="32"/>
        </w:rPr>
      </w:pPr>
      <w:r>
        <w:rPr>
          <w:rFonts w:hint="eastAsia" w:eastAsia="仿宋_GB2312"/>
          <w:sz w:val="32"/>
          <w:szCs w:val="32"/>
          <w:lang w:val="en-US" w:eastAsia="zh-CN"/>
        </w:rPr>
        <w:t>中海油销售天津有限公司滨海新区东沽石油南路加油站</w:t>
      </w:r>
      <w:r>
        <w:rPr>
          <w:rFonts w:hint="eastAsia" w:eastAsia="仿宋_GB2312"/>
          <w:sz w:val="32"/>
          <w:szCs w:val="32"/>
          <w:lang w:eastAsia="zh-CN"/>
        </w:rPr>
        <w:t>：</w:t>
      </w:r>
    </w:p>
    <w:p w14:paraId="5EBC2946">
      <w:pPr>
        <w:pageBreakBefore w:val="0"/>
        <w:widowControl w:val="0"/>
        <w:kinsoku/>
        <w:wordWrap/>
        <w:overflowPunct/>
        <w:topLinePunct w:val="0"/>
        <w:autoSpaceDE/>
        <w:autoSpaceDN/>
        <w:bidi w:val="0"/>
        <w:snapToGrid/>
        <w:spacing w:line="600" w:lineRule="exact"/>
        <w:ind w:firstLine="640" w:firstLineChars="200"/>
        <w:textAlignment w:val="baseline"/>
        <w:rPr>
          <w:rFonts w:hint="eastAsia" w:ascii="Times New Roman" w:hAnsi="Times New Roman" w:eastAsia="仿宋_GB2312" w:cs="Times New Roman"/>
          <w:bCs/>
          <w:sz w:val="32"/>
          <w:szCs w:val="32"/>
          <w:lang w:val="en-US" w:eastAsia="zh-CN"/>
        </w:rPr>
      </w:pPr>
      <w:r>
        <w:rPr>
          <w:rFonts w:hint="eastAsia" w:eastAsia="仿宋_GB2312"/>
          <w:sz w:val="32"/>
          <w:szCs w:val="32"/>
          <w:lang w:eastAsia="zh-CN"/>
        </w:rPr>
        <w:t>你公司</w:t>
      </w:r>
      <w:r>
        <w:rPr>
          <w:rFonts w:eastAsia="仿宋_GB2312"/>
          <w:sz w:val="32"/>
          <w:szCs w:val="32"/>
        </w:rPr>
        <w:t>呈</w:t>
      </w:r>
      <w:r>
        <w:rPr>
          <w:rFonts w:hint="eastAsia" w:eastAsia="仿宋_GB2312"/>
          <w:sz w:val="32"/>
          <w:szCs w:val="32"/>
          <w:lang w:eastAsia="zh-CN"/>
        </w:rPr>
        <w:t>报的《</w:t>
      </w:r>
      <w:r>
        <w:rPr>
          <w:rFonts w:hint="eastAsia" w:eastAsia="仿宋_GB2312"/>
          <w:sz w:val="32"/>
          <w:szCs w:val="32"/>
          <w:lang w:val="en-US" w:eastAsia="zh-CN"/>
        </w:rPr>
        <w:t>中海油销售天津有限公司滨海新区东沽石油南路加油站改扩建项目</w:t>
      </w:r>
      <w:r>
        <w:rPr>
          <w:rFonts w:hint="eastAsia" w:eastAsia="仿宋_GB2312"/>
          <w:sz w:val="32"/>
          <w:szCs w:val="32"/>
          <w:lang w:eastAsia="zh-CN"/>
        </w:rPr>
        <w:t>环境影响报告表报批申请》、天津市普林思瑞科技发展有限公司</w:t>
      </w:r>
      <w:r>
        <w:rPr>
          <w:rFonts w:hint="eastAsia" w:eastAsia="仿宋_GB2312"/>
          <w:sz w:val="32"/>
          <w:szCs w:val="32"/>
          <w:lang w:val="en-US" w:eastAsia="zh-CN"/>
        </w:rPr>
        <w:t>编制的</w:t>
      </w:r>
      <w:r>
        <w:rPr>
          <w:rFonts w:hint="eastAsia" w:eastAsia="仿宋_GB2312"/>
          <w:sz w:val="32"/>
          <w:szCs w:val="32"/>
          <w:lang w:eastAsia="zh-CN"/>
        </w:rPr>
        <w:t>《</w:t>
      </w:r>
      <w:r>
        <w:rPr>
          <w:rFonts w:hint="eastAsia" w:eastAsia="仿宋_GB2312"/>
          <w:sz w:val="32"/>
          <w:szCs w:val="32"/>
          <w:lang w:val="en-US" w:eastAsia="zh-CN"/>
        </w:rPr>
        <w:t>中海油销售天津有限公司滨海新区东沽石油南路加油站改扩建项目</w:t>
      </w:r>
      <w:r>
        <w:rPr>
          <w:rFonts w:hint="eastAsia" w:eastAsia="仿宋_GB2312"/>
          <w:sz w:val="32"/>
          <w:szCs w:val="32"/>
          <w:lang w:eastAsia="zh-CN"/>
        </w:rPr>
        <w:t>环境影响报告表</w:t>
      </w:r>
      <w:r>
        <w:rPr>
          <w:rFonts w:eastAsia="仿宋_GB2312"/>
          <w:sz w:val="32"/>
          <w:szCs w:val="32"/>
        </w:rPr>
        <w:t>》</w:t>
      </w:r>
      <w:r>
        <w:rPr>
          <w:rFonts w:hint="eastAsia" w:eastAsia="仿宋_GB2312"/>
          <w:sz w:val="32"/>
          <w:szCs w:val="32"/>
          <w:lang w:val="en-US" w:eastAsia="zh-CN"/>
        </w:rPr>
        <w:t>等材料</w:t>
      </w:r>
      <w:r>
        <w:rPr>
          <w:rFonts w:eastAsia="仿宋_GB2312"/>
          <w:sz w:val="32"/>
          <w:szCs w:val="32"/>
        </w:rPr>
        <w:t>收悉。经研究，现批复如下：</w:t>
      </w:r>
      <w:r>
        <w:rPr>
          <w:rFonts w:hint="eastAsia" w:eastAsia="仿宋_GB2312"/>
          <w:sz w:val="32"/>
          <w:szCs w:val="32"/>
          <w:lang w:val="en-US" w:eastAsia="zh-CN"/>
        </w:rPr>
        <w:t xml:space="preserve"> </w:t>
      </w:r>
    </w:p>
    <w:p w14:paraId="280B8924">
      <w:pPr>
        <w:keepNext w:val="0"/>
        <w:keepLines w:val="0"/>
        <w:pageBreakBefore w:val="0"/>
        <w:widowControl w:val="0"/>
        <w:numPr>
          <w:ilvl w:val="0"/>
          <w:numId w:val="0"/>
        </w:numPr>
        <w:tabs>
          <w:tab w:val="left" w:pos="4752"/>
        </w:tabs>
        <w:kinsoku/>
        <w:wordWrap/>
        <w:overflowPunct/>
        <w:topLinePunct w:val="0"/>
        <w:autoSpaceDE/>
        <w:autoSpaceDN/>
        <w:bidi w:val="0"/>
        <w:adjustRightInd w:val="0"/>
        <w:snapToGrid w:val="0"/>
        <w:spacing w:line="620" w:lineRule="exact"/>
        <w:rPr>
          <w:rFonts w:hint="eastAsia" w:ascii="Times New Roman" w:hAnsi="Times New Roman" w:eastAsia="仿宋_GB2312" w:cs="Times New Roman"/>
          <w:color w:val="0000FF"/>
          <w:sz w:val="32"/>
          <w:szCs w:val="32"/>
          <w:lang w:val="en-US" w:eastAsia="zh-CN"/>
        </w:rPr>
      </w:pPr>
      <w:r>
        <w:rPr>
          <w:rFonts w:hint="eastAsia" w:eastAsia="仿宋_GB2312" w:cs="Times New Roman"/>
          <w:bCs/>
          <w:sz w:val="32"/>
          <w:szCs w:val="32"/>
          <w:lang w:val="en-US" w:eastAsia="zh-CN"/>
        </w:rPr>
        <w:t xml:space="preserve">    一、东沽石油南路加油站位于天津市滨海新区中心商务区石油南路124号。本次改造内容包括拆除现有2座汽油储罐、2座柴油储罐及5台加油机（4台单枪汽油加油机、1台单枪柴油加油机），新建3座30立方米汽油储罐，2座30立方米柴油储罐，同时新建6台加油机（4台四枪汽油加油机、2台双枪柴油加油机），油气回收处理装置利用现有设备。改造完成后，加油站乙醇汽油年销售量为6000吨，柴油年销售量为3000吨。</w:t>
      </w:r>
      <w:r>
        <w:rPr>
          <w:rFonts w:hint="eastAsia" w:eastAsia="仿宋_GB2312" w:cs="Times New Roman"/>
          <w:bCs/>
          <w:sz w:val="32"/>
          <w:szCs w:val="32"/>
          <w:lang w:eastAsia="zh-CN"/>
        </w:rPr>
        <w:t>项目</w:t>
      </w:r>
      <w:r>
        <w:rPr>
          <w:rFonts w:hint="default" w:ascii="Times New Roman" w:hAnsi="Times New Roman" w:eastAsia="仿宋_GB2312" w:cs="Times New Roman"/>
          <w:bCs/>
          <w:sz w:val="32"/>
          <w:szCs w:val="32"/>
        </w:rPr>
        <w:t>总投资</w:t>
      </w:r>
      <w:r>
        <w:rPr>
          <w:rFonts w:hint="eastAsia" w:eastAsia="仿宋_GB2312" w:cs="Times New Roman"/>
          <w:bCs/>
          <w:sz w:val="32"/>
          <w:szCs w:val="32"/>
          <w:lang w:val="en-US" w:eastAsia="zh-CN"/>
        </w:rPr>
        <w:t>100</w:t>
      </w:r>
      <w:r>
        <w:rPr>
          <w:rFonts w:hint="default" w:ascii="Times New Roman" w:hAnsi="Times New Roman" w:eastAsia="仿宋_GB2312" w:cs="Times New Roman"/>
          <w:bCs/>
          <w:sz w:val="32"/>
          <w:szCs w:val="32"/>
        </w:rPr>
        <w:t>万元，环保投资</w:t>
      </w:r>
      <w:r>
        <w:rPr>
          <w:rFonts w:hint="eastAsia" w:eastAsia="仿宋_GB2312" w:cs="Times New Roman"/>
          <w:bCs/>
          <w:sz w:val="32"/>
          <w:szCs w:val="32"/>
          <w:lang w:val="en-US" w:eastAsia="zh-CN"/>
        </w:rPr>
        <w:t>25</w:t>
      </w:r>
      <w:r>
        <w:rPr>
          <w:rFonts w:hint="default" w:ascii="Times New Roman" w:hAnsi="Times New Roman" w:eastAsia="仿宋_GB2312" w:cs="Times New Roman"/>
          <w:bCs/>
          <w:sz w:val="32"/>
          <w:szCs w:val="32"/>
        </w:rPr>
        <w:t>万元，约占投资总额的</w:t>
      </w:r>
      <w:r>
        <w:rPr>
          <w:rFonts w:hint="eastAsia" w:eastAsia="仿宋_GB2312" w:cs="Times New Roman"/>
          <w:bCs/>
          <w:sz w:val="32"/>
          <w:szCs w:val="32"/>
          <w:lang w:val="en-US" w:eastAsia="zh-CN"/>
        </w:rPr>
        <w:t>25</w:t>
      </w: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w:t>
      </w:r>
    </w:p>
    <w:p w14:paraId="20D1D769">
      <w:pPr>
        <w:keepNext w:val="0"/>
        <w:keepLines w:val="0"/>
        <w:widowControl/>
        <w:numPr>
          <w:ilvl w:val="0"/>
          <w:numId w:val="0"/>
        </w:numPr>
        <w:suppressLineNumbers w:val="0"/>
        <w:ind w:firstLine="640" w:firstLineChars="200"/>
        <w:jc w:val="both"/>
        <w:rPr>
          <w:rFonts w:eastAsia="仿宋_GB2312"/>
          <w:sz w:val="32"/>
          <w:szCs w:val="32"/>
        </w:rPr>
      </w:pPr>
      <w:r>
        <w:rPr>
          <w:rFonts w:hint="eastAsia" w:eastAsia="仿宋_GB2312" w:cs="Times New Roman"/>
          <w:bCs/>
          <w:sz w:val="32"/>
          <w:szCs w:val="32"/>
          <w:lang w:val="en-US" w:eastAsia="zh-CN"/>
        </w:rPr>
        <w:t>2025年10月30日</w:t>
      </w:r>
      <w:r>
        <w:rPr>
          <w:rFonts w:hint="default" w:eastAsia="仿宋_GB2312" w:cs="Times New Roman"/>
          <w:bCs/>
          <w:sz w:val="32"/>
          <w:szCs w:val="32"/>
          <w:lang w:val="en-US" w:eastAsia="zh-CN"/>
        </w:rPr>
        <w:t>至</w:t>
      </w:r>
      <w:r>
        <w:rPr>
          <w:rFonts w:hint="eastAsia" w:eastAsia="仿宋_GB2312" w:cs="Times New Roman"/>
          <w:bCs/>
          <w:sz w:val="32"/>
          <w:szCs w:val="32"/>
          <w:lang w:val="en-US" w:eastAsia="zh-CN"/>
        </w:rPr>
        <w:t>11</w:t>
      </w:r>
      <w:r>
        <w:rPr>
          <w:rFonts w:hint="default" w:eastAsia="仿宋_GB2312" w:cs="Times New Roman"/>
          <w:bCs/>
          <w:sz w:val="32"/>
          <w:szCs w:val="32"/>
          <w:lang w:val="en-US" w:eastAsia="zh-CN"/>
        </w:rPr>
        <w:t>月</w:t>
      </w:r>
      <w:r>
        <w:rPr>
          <w:rFonts w:hint="eastAsia" w:eastAsia="仿宋_GB2312" w:cs="Times New Roman"/>
          <w:bCs/>
          <w:sz w:val="32"/>
          <w:szCs w:val="32"/>
          <w:lang w:val="en-US" w:eastAsia="zh-CN"/>
        </w:rPr>
        <w:t>5</w:t>
      </w:r>
      <w:r>
        <w:rPr>
          <w:rFonts w:hint="default" w:eastAsia="仿宋_GB2312" w:cs="Times New Roman"/>
          <w:bCs/>
          <w:sz w:val="32"/>
          <w:szCs w:val="32"/>
          <w:lang w:val="en-US" w:eastAsia="zh-CN"/>
        </w:rPr>
        <w:t>日，</w:t>
      </w:r>
      <w:r>
        <w:rPr>
          <w:rFonts w:hint="default" w:ascii="Times New Roman" w:hAnsi="Times New Roman" w:eastAsia="仿宋_GB2312" w:cs="Times New Roman"/>
          <w:sz w:val="32"/>
          <w:szCs w:val="32"/>
          <w:lang w:val="en-US" w:eastAsia="zh-CN"/>
        </w:rPr>
        <w:t>我局将</w:t>
      </w:r>
      <w:r>
        <w:rPr>
          <w:rFonts w:hint="eastAsia" w:eastAsia="仿宋_GB2312" w:cs="Times New Roman"/>
          <w:sz w:val="32"/>
          <w:szCs w:val="32"/>
          <w:lang w:val="en-US" w:eastAsia="zh-CN"/>
        </w:rPr>
        <w:t>该项目环评报告</w:t>
      </w:r>
      <w:r>
        <w:rPr>
          <w:rFonts w:hint="default" w:ascii="Times New Roman" w:hAnsi="Times New Roman" w:eastAsia="仿宋_GB2312" w:cs="Times New Roman"/>
          <w:sz w:val="32"/>
          <w:szCs w:val="32"/>
          <w:lang w:val="en-US" w:eastAsia="zh-CN"/>
        </w:rPr>
        <w:t>受理情况进行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公</w:t>
      </w:r>
      <w:r>
        <w:rPr>
          <w:rFonts w:hint="default" w:eastAsia="仿宋_GB2312" w:cs="Times New Roman"/>
          <w:sz w:val="32"/>
          <w:szCs w:val="32"/>
          <w:lang w:val="en-US" w:eastAsia="zh-CN"/>
        </w:rPr>
        <w:t>示；</w:t>
      </w:r>
      <w:r>
        <w:rPr>
          <w:rFonts w:hint="eastAsia" w:eastAsia="仿宋_GB2312" w:cs="Times New Roman"/>
          <w:sz w:val="32"/>
          <w:szCs w:val="32"/>
          <w:lang w:val="en-US" w:eastAsia="zh-CN"/>
        </w:rPr>
        <w:t>11</w:t>
      </w:r>
      <w:r>
        <w:rPr>
          <w:rFonts w:hint="default" w:ascii="Times New Roman" w:hAnsi="Times New Roman" w:eastAsia="仿宋_GB2312" w:cs="Times New Roman"/>
          <w:bCs/>
          <w:sz w:val="32"/>
          <w:szCs w:val="32"/>
          <w:lang w:val="en-US" w:eastAsia="zh-CN"/>
        </w:rPr>
        <w:t>月</w:t>
      </w:r>
      <w:r>
        <w:rPr>
          <w:rFonts w:hint="eastAsia" w:eastAsia="仿宋_GB2312" w:cs="Times New Roman"/>
          <w:bCs/>
          <w:sz w:val="32"/>
          <w:szCs w:val="32"/>
          <w:lang w:val="en-US" w:eastAsia="zh-CN"/>
        </w:rPr>
        <w:t>12</w:t>
      </w:r>
      <w:r>
        <w:rPr>
          <w:rFonts w:hint="default" w:ascii="Times New Roman" w:hAnsi="Times New Roman" w:eastAsia="仿宋_GB2312" w:cs="Times New Roman"/>
          <w:bCs/>
          <w:sz w:val="32"/>
          <w:szCs w:val="32"/>
          <w:lang w:val="en-US" w:eastAsia="zh-CN"/>
        </w:rPr>
        <w:t>日至</w:t>
      </w:r>
      <w:r>
        <w:rPr>
          <w:rFonts w:hint="eastAsia" w:eastAsia="仿宋_GB2312" w:cs="Times New Roman"/>
          <w:bCs/>
          <w:sz w:val="32"/>
          <w:szCs w:val="32"/>
          <w:lang w:val="en-US" w:eastAsia="zh-CN"/>
        </w:rPr>
        <w:t>11</w:t>
      </w:r>
      <w:r>
        <w:rPr>
          <w:rFonts w:hint="default" w:ascii="Times New Roman" w:hAnsi="Times New Roman" w:eastAsia="仿宋_GB2312" w:cs="Times New Roman"/>
          <w:bCs/>
          <w:sz w:val="32"/>
          <w:szCs w:val="32"/>
          <w:lang w:val="en-US" w:eastAsia="zh-CN"/>
        </w:rPr>
        <w:t>月</w:t>
      </w:r>
      <w:r>
        <w:rPr>
          <w:rFonts w:hint="eastAsia" w:eastAsia="仿宋_GB2312" w:cs="Times New Roman"/>
          <w:bCs/>
          <w:sz w:val="32"/>
          <w:szCs w:val="32"/>
          <w:lang w:val="en-US" w:eastAsia="zh-CN"/>
        </w:rPr>
        <w:t>18</w:t>
      </w:r>
      <w:r>
        <w:rPr>
          <w:rFonts w:hint="default" w:ascii="Times New Roman" w:hAnsi="Times New Roman" w:eastAsia="仿宋_GB2312" w:cs="Times New Roman"/>
          <w:bCs/>
          <w:sz w:val="32"/>
          <w:szCs w:val="32"/>
          <w:lang w:val="en-US" w:eastAsia="zh-CN"/>
        </w:rPr>
        <w:t>日</w:t>
      </w:r>
      <w:r>
        <w:rPr>
          <w:rFonts w:hint="eastAsia" w:ascii="Times New Roman" w:hAnsi="Times New Roman" w:eastAsia="仿宋_GB2312" w:cs="Times New Roman"/>
          <w:bCs/>
          <w:sz w:val="32"/>
          <w:szCs w:val="32"/>
          <w:lang w:val="en-US" w:eastAsia="zh-CN"/>
        </w:rPr>
        <w:t>，</w:t>
      </w:r>
      <w:r>
        <w:rPr>
          <w:rFonts w:hint="default" w:eastAsia="仿宋_GB2312" w:cs="Times New Roman"/>
          <w:sz w:val="32"/>
          <w:szCs w:val="32"/>
          <w:lang w:val="en-US" w:eastAsia="zh-CN"/>
        </w:rPr>
        <w:t>将</w:t>
      </w:r>
      <w:r>
        <w:rPr>
          <w:rFonts w:hint="eastAsia" w:eastAsia="仿宋_GB2312" w:cs="Times New Roman"/>
          <w:sz w:val="32"/>
          <w:szCs w:val="32"/>
          <w:lang w:val="en-US" w:eastAsia="zh-CN"/>
        </w:rPr>
        <w:t>该项目</w:t>
      </w:r>
      <w:r>
        <w:rPr>
          <w:rFonts w:hint="eastAsia" w:ascii="Times New Roman" w:hAnsi="Times New Roman" w:eastAsia="仿宋_GB2312" w:cs="Times New Roman"/>
          <w:sz w:val="32"/>
          <w:szCs w:val="32"/>
          <w:lang w:val="en-US" w:eastAsia="zh-CN"/>
        </w:rPr>
        <w:t>环评</w:t>
      </w:r>
      <w:r>
        <w:rPr>
          <w:rFonts w:hint="eastAsia" w:eastAsia="仿宋_GB2312" w:cs="Times New Roman"/>
          <w:sz w:val="32"/>
          <w:szCs w:val="32"/>
          <w:lang w:val="en-US" w:eastAsia="zh-CN"/>
        </w:rPr>
        <w:t>报告</w:t>
      </w:r>
      <w:r>
        <w:rPr>
          <w:rFonts w:hint="default" w:ascii="Times New Roman" w:hAnsi="Times New Roman" w:eastAsia="仿宋_GB2312" w:cs="Times New Roman"/>
          <w:sz w:val="32"/>
          <w:szCs w:val="32"/>
          <w:lang w:val="en-US" w:eastAsia="zh-CN"/>
        </w:rPr>
        <w:t>拟批复情况进行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公示；</w:t>
      </w:r>
      <w:r>
        <w:rPr>
          <w:rFonts w:eastAsia="仿宋_GB2312"/>
          <w:sz w:val="32"/>
          <w:szCs w:val="32"/>
        </w:rPr>
        <w:t>根据公众反馈意见情况及环评报告结论，在严格落实环评报告所提出的各项污染防治措施、确保各类污染物稳定达标的前提下，项目具备环境可行性。</w:t>
      </w:r>
    </w:p>
    <w:p w14:paraId="05F13057">
      <w:pPr>
        <w:pageBreakBefore w:val="0"/>
        <w:widowControl w:val="0"/>
        <w:kinsoku/>
        <w:wordWrap/>
        <w:overflowPunct/>
        <w:topLinePunct w:val="0"/>
        <w:autoSpaceDE/>
        <w:autoSpaceDN/>
        <w:bidi w:val="0"/>
        <w:snapToGrid/>
        <w:spacing w:line="600" w:lineRule="exact"/>
        <w:ind w:firstLine="640" w:firstLineChars="200"/>
        <w:textAlignment w:val="baseline"/>
        <w:rPr>
          <w:rFonts w:hint="default" w:ascii="Times New Roman" w:hAnsi="Times New Roman" w:eastAsia="仿宋_GB2312" w:cs="Times New Roman"/>
          <w:sz w:val="32"/>
          <w:szCs w:val="32"/>
        </w:rPr>
      </w:pPr>
      <w:r>
        <w:rPr>
          <w:rFonts w:eastAsia="仿宋_GB2312"/>
          <w:sz w:val="32"/>
          <w:szCs w:val="32"/>
        </w:rPr>
        <w:t>二</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lang w:eastAsia="zh-CN"/>
        </w:rPr>
        <w:t>项目施工及运营</w:t>
      </w:r>
      <w:r>
        <w:rPr>
          <w:rFonts w:hint="eastAsia" w:ascii="仿宋_GB2312" w:hAnsi="仿宋_GB2312" w:eastAsia="仿宋_GB2312" w:cs="仿宋_GB2312"/>
          <w:sz w:val="32"/>
          <w:szCs w:val="32"/>
        </w:rPr>
        <w:t>过程中，</w:t>
      </w:r>
      <w:r>
        <w:rPr>
          <w:rFonts w:hint="eastAsia" w:eastAsia="仿宋_GB2312" w:cs="Times New Roman"/>
          <w:sz w:val="32"/>
          <w:szCs w:val="32"/>
          <w:lang w:eastAsia="zh-CN"/>
        </w:rPr>
        <w:t>你单位</w:t>
      </w:r>
      <w:r>
        <w:rPr>
          <w:rFonts w:hint="default" w:ascii="Times New Roman" w:hAnsi="Times New Roman" w:eastAsia="仿宋_GB2312" w:cs="Times New Roman"/>
          <w:sz w:val="32"/>
          <w:szCs w:val="32"/>
        </w:rPr>
        <w:t>应重点做好以下工作：</w:t>
      </w:r>
    </w:p>
    <w:p w14:paraId="306FD066">
      <w:pPr>
        <w:pageBreakBefore w:val="0"/>
        <w:widowControl w:val="0"/>
        <w:kinsoku/>
        <w:wordWrap/>
        <w:overflowPunct/>
        <w:topLinePunct w:val="0"/>
        <w:autoSpaceDE/>
        <w:autoSpaceDN/>
        <w:bidi w:val="0"/>
        <w:snapToGrid/>
        <w:spacing w:line="600" w:lineRule="exact"/>
        <w:ind w:firstLine="640" w:firstLineChars="200"/>
        <w:textAlignment w:val="baseline"/>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.施工期间应严格执行国家相关环保法律法规和落实环评报告中提出的污染防范措施：做到合法施工，文明生产</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减少扬尘污染；妥善处理施工产生的施工废水；合理安排施工时间，加强对高噪声机械的管理</w:t>
      </w:r>
      <w:r>
        <w:rPr>
          <w:rFonts w:hint="eastAsia" w:eastAsia="仿宋_GB2312" w:cs="Times New Roman"/>
          <w:color w:val="auto"/>
          <w:sz w:val="32"/>
          <w:szCs w:val="32"/>
          <w:lang w:val="en-US" w:eastAsia="zh-CN"/>
        </w:rPr>
        <w:t>；妥善处理施工过程产生的固体废物，属于危险废物的交由有资质单位处理、处置。</w:t>
      </w:r>
    </w:p>
    <w:p w14:paraId="07467888">
      <w:pPr>
        <w:keepNext w:val="0"/>
        <w:keepLines w:val="0"/>
        <w:pageBreakBefore w:val="0"/>
        <w:widowControl w:val="0"/>
        <w:kinsoku/>
        <w:wordWrap/>
        <w:overflowPunct/>
        <w:topLinePunct w:val="0"/>
        <w:autoSpaceDE/>
        <w:autoSpaceDN/>
        <w:bidi w:val="0"/>
        <w:snapToGrid/>
        <w:spacing w:line="620" w:lineRule="exact"/>
        <w:ind w:firstLine="640" w:firstLineChars="200"/>
        <w:textAlignment w:val="baseline"/>
        <w:rPr>
          <w:rFonts w:hint="eastAsia" w:eastAsia="仿宋_GB2312" w:cs="Times New Roman"/>
          <w:bCs/>
          <w:sz w:val="32"/>
          <w:szCs w:val="32"/>
          <w:lang w:val="en-US" w:eastAsia="zh-CN"/>
        </w:rPr>
      </w:pPr>
      <w:r>
        <w:rPr>
          <w:rFonts w:hint="eastAsia" w:eastAsia="仿宋_GB2312" w:cs="Times New Roman"/>
          <w:bCs/>
          <w:sz w:val="32"/>
          <w:szCs w:val="32"/>
          <w:lang w:val="en-US" w:eastAsia="zh-CN"/>
        </w:rPr>
        <w:t>2.运营期间，卸油产生的废气通过卸油油气回收系统收集后返回至油罐车内；安装与轻型汽车ORVR系统兼容的油气处理装置，加油过程产生的废气经加油油气回收系统收集后返回至汽油储罐；汽油油罐呼吸产生的气体进入“活性炭吸附再生”油气处理装置，处理达标后的废气由一根4.5米高排气筒排放。</w:t>
      </w:r>
    </w:p>
    <w:p w14:paraId="26F37628">
      <w:pPr>
        <w:keepNext w:val="0"/>
        <w:keepLines w:val="0"/>
        <w:pageBreakBefore w:val="0"/>
        <w:widowControl w:val="0"/>
        <w:kinsoku/>
        <w:wordWrap/>
        <w:overflowPunct/>
        <w:topLinePunct w:val="0"/>
        <w:autoSpaceDE/>
        <w:autoSpaceDN/>
        <w:bidi w:val="0"/>
        <w:snapToGrid/>
        <w:spacing w:line="620" w:lineRule="exact"/>
        <w:ind w:firstLine="640" w:firstLineChars="200"/>
        <w:textAlignment w:val="baseline"/>
        <w:rPr>
          <w:rFonts w:hint="eastAsia"/>
          <w:lang w:val="en-US" w:eastAsia="zh-CN"/>
        </w:rPr>
      </w:pPr>
      <w:r>
        <w:rPr>
          <w:rFonts w:hint="eastAsia" w:eastAsia="仿宋_GB2312" w:cs="Times New Roman"/>
          <w:bCs/>
          <w:sz w:val="32"/>
          <w:szCs w:val="32"/>
          <w:lang w:val="en-US" w:eastAsia="zh-CN"/>
        </w:rPr>
        <w:t>使用密闭性好的设备，减少废气的无组织排放，确保废气无组织排放浓度满足厂界限值要求。</w:t>
      </w:r>
    </w:p>
    <w:p w14:paraId="3195C81E">
      <w:pPr>
        <w:pStyle w:val="17"/>
        <w:keepNext w:val="0"/>
        <w:keepLines w:val="0"/>
        <w:pageBreakBefore w:val="0"/>
        <w:widowControl w:val="0"/>
        <w:numPr>
          <w:ilvl w:val="0"/>
          <w:numId w:val="0"/>
        </w:numPr>
        <w:kinsoku/>
        <w:wordWrap/>
        <w:overflowPunct/>
        <w:topLinePunct w:val="0"/>
        <w:bidi w:val="0"/>
        <w:adjustRightInd/>
        <w:snapToGrid w:val="0"/>
        <w:spacing w:line="580" w:lineRule="exact"/>
        <w:ind w:firstLine="640" w:firstLineChars="200"/>
        <w:jc w:val="both"/>
        <w:textAlignment w:val="auto"/>
        <w:outlineLvl w:val="9"/>
        <w:rPr>
          <w:rFonts w:hint="eastAsia" w:ascii="仿宋_GB2312" w:hAnsi="仿宋_GB2312" w:eastAsia="仿宋_GB2312" w:cs="仿宋_GB2312"/>
          <w:color w:val="0000FF"/>
          <w:sz w:val="32"/>
          <w:szCs w:val="32"/>
          <w:lang w:eastAsia="zh-CN"/>
        </w:rPr>
      </w:pPr>
      <w:r>
        <w:rPr>
          <w:rFonts w:hint="eastAsia" w:ascii="Times New Roman" w:hAnsi="Times New Roman" w:eastAsia="仿宋_GB2312" w:cs="Times New Roman"/>
          <w:bCs/>
          <w:color w:val="auto"/>
          <w:kern w:val="2"/>
          <w:sz w:val="32"/>
          <w:szCs w:val="32"/>
          <w:lang w:val="en-US" w:eastAsia="zh-CN" w:bidi="ar-SA"/>
        </w:rPr>
        <w:t>3.</w:t>
      </w:r>
      <w:r>
        <w:rPr>
          <w:rFonts w:hint="eastAsia" w:ascii="Times New Roman" w:eastAsia="仿宋_GB2312" w:cs="Times New Roman"/>
          <w:bCs/>
          <w:color w:val="auto"/>
          <w:kern w:val="2"/>
          <w:sz w:val="32"/>
          <w:szCs w:val="32"/>
          <w:lang w:val="en-US" w:eastAsia="zh-CN" w:bidi="ar-SA"/>
        </w:rPr>
        <w:t>该项目不新增废水排放</w:t>
      </w:r>
      <w:r>
        <w:rPr>
          <w:rFonts w:hint="eastAsia" w:ascii="仿宋_GB2312" w:hAnsi="仿宋_GB2312" w:eastAsia="仿宋_GB2312" w:cs="仿宋_GB2312"/>
          <w:color w:val="auto"/>
          <w:sz w:val="32"/>
          <w:szCs w:val="32"/>
          <w:lang w:eastAsia="zh-CN"/>
        </w:rPr>
        <w:t>。</w:t>
      </w:r>
    </w:p>
    <w:p w14:paraId="4F48FC19">
      <w:pPr>
        <w:keepNext w:val="0"/>
        <w:keepLines w:val="0"/>
        <w:pageBreakBefore w:val="0"/>
        <w:widowControl w:val="0"/>
        <w:kinsoku/>
        <w:wordWrap/>
        <w:overflowPunct/>
        <w:topLinePunct w:val="0"/>
        <w:autoSpaceDE/>
        <w:autoSpaceDN/>
        <w:bidi w:val="0"/>
        <w:snapToGrid/>
        <w:spacing w:line="620" w:lineRule="exact"/>
        <w:ind w:firstLine="640" w:firstLineChars="200"/>
        <w:textAlignment w:val="baseline"/>
        <w:rPr>
          <w:rFonts w:hint="eastAsia" w:ascii="Times New Roman" w:hAnsi="Times New Roman" w:eastAsia="仿宋_GB2312" w:cs="Times New Roman"/>
          <w:color w:val="auto"/>
          <w:kern w:val="2"/>
          <w:sz w:val="32"/>
          <w:szCs w:val="32"/>
          <w:lang w:val="en-US" w:eastAsia="zh-CN" w:bidi="ar-SA"/>
        </w:rPr>
      </w:pPr>
      <w:r>
        <w:rPr>
          <w:rFonts w:hint="eastAsia" w:eastAsia="仿宋_GB2312"/>
          <w:sz w:val="32"/>
          <w:szCs w:val="32"/>
          <w:lang w:val="en-US" w:eastAsia="zh-CN"/>
        </w:rPr>
        <w:t>4.站区应合理布局，选用低噪声设备，保证厂界噪声达标</w:t>
      </w:r>
      <w:r>
        <w:rPr>
          <w:rFonts w:hint="eastAsia" w:ascii="Times New Roman" w:hAnsi="Times New Roman" w:eastAsia="仿宋_GB2312" w:cs="Times New Roman"/>
          <w:color w:val="auto"/>
          <w:kern w:val="2"/>
          <w:sz w:val="32"/>
          <w:szCs w:val="32"/>
          <w:lang w:val="en-US" w:eastAsia="zh-CN" w:bidi="ar-SA"/>
        </w:rPr>
        <w:t>。</w:t>
      </w:r>
    </w:p>
    <w:p w14:paraId="6CFB059A">
      <w:pPr>
        <w:pStyle w:val="17"/>
        <w:keepNext w:val="0"/>
        <w:keepLines w:val="0"/>
        <w:pageBreakBefore w:val="0"/>
        <w:widowControl w:val="0"/>
        <w:numPr>
          <w:ilvl w:val="0"/>
          <w:numId w:val="0"/>
        </w:numPr>
        <w:kinsoku/>
        <w:wordWrap/>
        <w:overflowPunct/>
        <w:topLinePunct w:val="0"/>
        <w:bidi w:val="0"/>
        <w:adjustRightInd/>
        <w:snapToGrid w:val="0"/>
        <w:spacing w:line="580" w:lineRule="exact"/>
        <w:ind w:firstLine="631"/>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bCs/>
          <w:color w:val="auto"/>
          <w:sz w:val="32"/>
          <w:szCs w:val="32"/>
          <w:lang w:val="en-US" w:eastAsia="zh-CN"/>
        </w:rPr>
        <w:t>5.</w:t>
      </w:r>
      <w:r>
        <w:rPr>
          <w:rFonts w:hint="eastAsia" w:ascii="仿宋_GB2312" w:hAnsi="仿宋_GB2312" w:eastAsia="仿宋_GB2312" w:cs="仿宋_GB2312"/>
          <w:sz w:val="32"/>
          <w:szCs w:val="32"/>
          <w:highlight w:val="none"/>
          <w:lang w:val="en-US" w:eastAsia="zh-CN"/>
        </w:rPr>
        <w:t>做好各类固体废物的收集、贮存、运输和处置，做到资源化、减量化、无害化。项目产生的清罐含油废水、洗罐油泥、废活性炭、沾染废物、废干燥剂、废除水滤芯、含油废砂、废吸油毡等危险废物须交由有相应资质的单位进行处理、处置。</w:t>
      </w:r>
    </w:p>
    <w:p w14:paraId="7C7D36D2">
      <w:pPr>
        <w:pStyle w:val="17"/>
        <w:keepNext w:val="0"/>
        <w:keepLines w:val="0"/>
        <w:pageBreakBefore w:val="0"/>
        <w:widowControl w:val="0"/>
        <w:numPr>
          <w:ilvl w:val="0"/>
          <w:numId w:val="0"/>
        </w:numPr>
        <w:kinsoku/>
        <w:wordWrap/>
        <w:overflowPunct/>
        <w:topLinePunct w:val="0"/>
        <w:bidi w:val="0"/>
        <w:adjustRightInd/>
        <w:snapToGrid w:val="0"/>
        <w:spacing w:line="580" w:lineRule="exact"/>
        <w:ind w:firstLine="631"/>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危险废物暂存场所应按照相关规定进行完善和管理，并严格按照《危险废物规范化环境管理评估指标》做好危险废物规范化管理工作。</w:t>
      </w:r>
    </w:p>
    <w:p w14:paraId="42E27294">
      <w:pPr>
        <w:pStyle w:val="17"/>
        <w:keepNext w:val="0"/>
        <w:keepLines w:val="0"/>
        <w:pageBreakBefore w:val="0"/>
        <w:widowControl w:val="0"/>
        <w:numPr>
          <w:ilvl w:val="0"/>
          <w:numId w:val="0"/>
        </w:numPr>
        <w:kinsoku/>
        <w:wordWrap/>
        <w:overflowPunct/>
        <w:topLinePunct w:val="0"/>
        <w:bidi w:val="0"/>
        <w:adjustRightInd/>
        <w:snapToGrid w:val="0"/>
        <w:spacing w:line="580" w:lineRule="exact"/>
        <w:ind w:firstLine="631"/>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bCs/>
          <w:color w:val="auto"/>
          <w:sz w:val="32"/>
          <w:szCs w:val="32"/>
          <w:lang w:val="en-US" w:eastAsia="zh-CN"/>
        </w:rPr>
        <w:t>6</w:t>
      </w:r>
      <w:r>
        <w:rPr>
          <w:rFonts w:hint="eastAsia" w:ascii="仿宋_GB2312" w:hAnsi="仿宋_GB2312" w:eastAsia="仿宋_GB2312" w:cs="仿宋_GB2312"/>
          <w:sz w:val="32"/>
          <w:szCs w:val="32"/>
          <w:highlight w:val="none"/>
          <w:lang w:val="en-US" w:eastAsia="zh-CN"/>
        </w:rPr>
        <w:t>.采取严格的防渗、防泄漏、防腐蚀等措施，做好地下水污染和土壤污染的防控工作；完善分区防渗，合理设置地下水监测井。</w:t>
      </w:r>
    </w:p>
    <w:p w14:paraId="6DE64E94">
      <w:pPr>
        <w:pStyle w:val="2"/>
        <w:pageBreakBefore w:val="0"/>
        <w:widowControl w:val="0"/>
        <w:kinsoku/>
        <w:wordWrap/>
        <w:overflowPunct/>
        <w:topLinePunct w:val="0"/>
        <w:autoSpaceDE/>
        <w:autoSpaceDN/>
        <w:bidi w:val="0"/>
        <w:adjustRightInd/>
        <w:snapToGrid/>
        <w:spacing w:line="360" w:lineRule="auto"/>
        <w:ind w:firstLine="640" w:firstLineChars="200"/>
        <w:rPr>
          <w:rFonts w:hint="eastAsia" w:eastAsia="仿宋_GB2312"/>
          <w:lang w:val="en-US" w:eastAsia="zh-CN"/>
        </w:rPr>
      </w:pPr>
      <w:r>
        <w:rPr>
          <w:rFonts w:hint="eastAsia" w:eastAsia="仿宋_GB2312" w:cs="Times New Roman"/>
          <w:bCs/>
          <w:color w:val="auto"/>
          <w:sz w:val="32"/>
          <w:szCs w:val="32"/>
          <w:lang w:val="en-US" w:eastAsia="zh-CN"/>
        </w:rPr>
        <w:t>7</w:t>
      </w:r>
      <w:r>
        <w:rPr>
          <w:rFonts w:hint="eastAsia" w:ascii="Times New Roman" w:hAnsi="Times New Roman" w:eastAsia="仿宋_GB2312" w:cs="Times New Roman"/>
          <w:bCs/>
          <w:color w:val="auto"/>
          <w:sz w:val="32"/>
          <w:szCs w:val="32"/>
          <w:lang w:val="en-US" w:eastAsia="zh-CN"/>
        </w:rPr>
        <w:t>.</w:t>
      </w:r>
      <w:r>
        <w:rPr>
          <w:rFonts w:hint="eastAsia" w:eastAsia="仿宋_GB2312" w:cs="Times New Roman"/>
          <w:bCs/>
          <w:color w:val="auto"/>
          <w:sz w:val="32"/>
          <w:szCs w:val="32"/>
          <w:lang w:val="en-US" w:eastAsia="zh-CN"/>
        </w:rPr>
        <w:t>强化各项环境风险防范措施，</w:t>
      </w:r>
      <w:r>
        <w:rPr>
          <w:rFonts w:hint="eastAsia" w:eastAsia="仿宋_GB2312"/>
          <w:lang w:val="en-US" w:eastAsia="zh-CN"/>
        </w:rPr>
        <w:t>完善突发环境风险应急预案，并向区生态环境局备案；定期开展突发环境事件应急演练，有效防范和应对环境风险，杜绝环境污染事故。</w:t>
      </w:r>
    </w:p>
    <w:p w14:paraId="57F6CA41">
      <w:pPr>
        <w:pStyle w:val="2"/>
        <w:pageBreakBefore w:val="0"/>
        <w:widowControl w:val="0"/>
        <w:kinsoku/>
        <w:wordWrap/>
        <w:overflowPunct/>
        <w:topLinePunct w:val="0"/>
        <w:autoSpaceDE/>
        <w:autoSpaceDN/>
        <w:bidi w:val="0"/>
        <w:adjustRightInd/>
        <w:snapToGrid/>
        <w:spacing w:line="360" w:lineRule="auto"/>
        <w:ind w:firstLine="640" w:firstLineChars="200"/>
        <w:rPr>
          <w:rFonts w:hint="eastAsia"/>
          <w:lang w:val="en-US" w:eastAsia="zh-CN"/>
        </w:rPr>
      </w:pPr>
      <w:r>
        <w:rPr>
          <w:rFonts w:hint="eastAsia" w:eastAsia="仿宋_GB2312" w:cs="Times New Roman"/>
          <w:bCs/>
          <w:color w:val="auto"/>
          <w:sz w:val="32"/>
          <w:szCs w:val="32"/>
          <w:lang w:val="en-US" w:eastAsia="zh-CN"/>
        </w:rPr>
        <w:t>8</w:t>
      </w:r>
      <w:r>
        <w:rPr>
          <w:rFonts w:hint="eastAsia" w:ascii="Times New Roman" w:hAnsi="Times New Roman" w:eastAsia="仿宋_GB2312" w:cs="Times New Roman"/>
          <w:bCs/>
          <w:color w:val="auto"/>
          <w:sz w:val="32"/>
          <w:szCs w:val="32"/>
          <w:lang w:val="en-US" w:eastAsia="zh-CN"/>
        </w:rPr>
        <w:t>.</w:t>
      </w:r>
      <w:r>
        <w:rPr>
          <w:rFonts w:hint="eastAsia" w:eastAsia="仿宋_GB2312"/>
          <w:lang w:val="en-US" w:eastAsia="zh-CN"/>
        </w:rPr>
        <w:t>落实报告表提出的环境监测计划，定期开展监测工作。</w:t>
      </w:r>
    </w:p>
    <w:p w14:paraId="18FD2BD3">
      <w:pPr>
        <w:pStyle w:val="2"/>
        <w:pageBreakBefore w:val="0"/>
        <w:widowControl w:val="0"/>
        <w:kinsoku/>
        <w:wordWrap/>
        <w:overflowPunct/>
        <w:topLinePunct w:val="0"/>
        <w:autoSpaceDE/>
        <w:autoSpaceDN/>
        <w:bidi w:val="0"/>
        <w:adjustRightInd/>
        <w:snapToGrid/>
        <w:spacing w:line="360" w:lineRule="auto"/>
        <w:ind w:firstLine="640" w:firstLineChars="200"/>
        <w:rPr>
          <w:rFonts w:hint="eastAsia"/>
          <w:lang w:val="en-US" w:eastAsia="zh-CN"/>
        </w:rPr>
      </w:pPr>
      <w:r>
        <w:rPr>
          <w:rFonts w:hint="eastAsia" w:eastAsia="仿宋_GB2312" w:cs="Times New Roman"/>
          <w:bCs/>
          <w:color w:val="auto"/>
          <w:sz w:val="32"/>
          <w:szCs w:val="32"/>
          <w:lang w:val="en-US" w:eastAsia="zh-CN"/>
        </w:rPr>
        <w:t>9</w:t>
      </w:r>
      <w:r>
        <w:rPr>
          <w:rFonts w:hint="eastAsia" w:ascii="Times New Roman" w:hAnsi="Times New Roman" w:eastAsia="仿宋_GB2312" w:cs="Times New Roman"/>
          <w:bCs/>
          <w:color w:val="auto"/>
          <w:sz w:val="32"/>
          <w:szCs w:val="32"/>
          <w:lang w:val="en-US" w:eastAsia="zh-CN"/>
        </w:rPr>
        <w:t>.</w:t>
      </w:r>
      <w:r>
        <w:rPr>
          <w:rFonts w:hint="eastAsia" w:eastAsia="仿宋_GB2312"/>
          <w:lang w:val="en-US" w:eastAsia="zh-CN"/>
        </w:rPr>
        <w:t>做好排污口规范化工作，悬挂符合要求的标识牌。</w:t>
      </w:r>
    </w:p>
    <w:p w14:paraId="4AAF2D13">
      <w:pPr>
        <w:keepNext w:val="0"/>
        <w:keepLines w:val="0"/>
        <w:pageBreakBefore w:val="0"/>
        <w:widowControl w:val="0"/>
        <w:kinsoku/>
        <w:wordWrap/>
        <w:overflowPunct/>
        <w:topLinePunct w:val="0"/>
        <w:autoSpaceDE/>
        <w:autoSpaceDN/>
        <w:bidi w:val="0"/>
        <w:snapToGrid/>
        <w:spacing w:line="640" w:lineRule="exact"/>
        <w:ind w:firstLine="640" w:firstLineChars="200"/>
        <w:textAlignment w:val="baseline"/>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该项目不新增主要污染物总量指标</w:t>
      </w:r>
      <w:r>
        <w:rPr>
          <w:rFonts w:hint="default" w:ascii="Times New Roman" w:hAnsi="Times New Roman" w:eastAsia="仿宋_GB2312" w:cs="Times New Roman"/>
          <w:color w:val="auto"/>
          <w:sz w:val="32"/>
          <w:szCs w:val="32"/>
          <w:lang w:val="en-US" w:eastAsia="zh-CN"/>
        </w:rPr>
        <w:t>。</w:t>
      </w:r>
    </w:p>
    <w:p w14:paraId="73C28143">
      <w:pPr>
        <w:keepNext w:val="0"/>
        <w:keepLines w:val="0"/>
        <w:pageBreakBefore w:val="0"/>
        <w:widowControl w:val="0"/>
        <w:kinsoku/>
        <w:wordWrap/>
        <w:overflowPunct/>
        <w:topLinePunct w:val="0"/>
        <w:autoSpaceDE/>
        <w:autoSpaceDN/>
        <w:bidi w:val="0"/>
        <w:snapToGrid/>
        <w:spacing w:line="640" w:lineRule="exact"/>
        <w:ind w:firstLine="640" w:firstLineChars="200"/>
        <w:textAlignment w:val="baseline"/>
        <w:outlineLvl w:val="9"/>
        <w:rPr>
          <w:rFonts w:eastAsia="仿宋_GB2312"/>
          <w:sz w:val="32"/>
          <w:szCs w:val="32"/>
        </w:rPr>
      </w:pPr>
      <w:r>
        <w:rPr>
          <w:rFonts w:hint="eastAsia" w:eastAsia="仿宋_GB2312"/>
          <w:sz w:val="32"/>
          <w:szCs w:val="32"/>
        </w:rPr>
        <w:t>四、</w:t>
      </w:r>
      <w:r>
        <w:rPr>
          <w:rFonts w:hint="eastAsia" w:eastAsia="仿宋_GB2312"/>
          <w:sz w:val="32"/>
          <w:szCs w:val="32"/>
          <w:lang w:eastAsia="zh-CN"/>
        </w:rPr>
        <w:t>项目竣工后应</w:t>
      </w:r>
      <w:r>
        <w:rPr>
          <w:rFonts w:hint="eastAsia" w:eastAsia="仿宋_GB2312"/>
          <w:sz w:val="32"/>
          <w:szCs w:val="32"/>
        </w:rPr>
        <w:t>按规定的标准和程序开展环境保护验收，经验收合格后方可正式投入使用；</w:t>
      </w:r>
      <w:r>
        <w:rPr>
          <w:rFonts w:hint="eastAsia" w:eastAsia="仿宋_GB2312"/>
          <w:sz w:val="32"/>
          <w:szCs w:val="32"/>
          <w:lang w:eastAsia="zh-CN"/>
        </w:rPr>
        <w:t>在该项目发生实际排污之前，你单位应按照法律法规要求，做好排污许可管理相关工作；</w:t>
      </w:r>
      <w:r>
        <w:rPr>
          <w:rFonts w:hint="eastAsia" w:eastAsia="仿宋_GB2312"/>
          <w:sz w:val="32"/>
          <w:szCs w:val="32"/>
        </w:rPr>
        <w:t>若</w:t>
      </w:r>
      <w:r>
        <w:rPr>
          <w:rFonts w:hint="eastAsia" w:eastAsia="仿宋_GB2312"/>
          <w:sz w:val="32"/>
          <w:szCs w:val="32"/>
          <w:lang w:eastAsia="zh-CN"/>
        </w:rPr>
        <w:t>项目</w:t>
      </w:r>
      <w:r>
        <w:rPr>
          <w:rFonts w:hint="eastAsia" w:eastAsia="仿宋_GB2312"/>
          <w:sz w:val="32"/>
          <w:szCs w:val="32"/>
        </w:rPr>
        <w:t>的性质、规模、地点、生产工艺或防治污染的措施发生重大变动，须重新报批环境影响评价文件。</w:t>
      </w:r>
    </w:p>
    <w:p w14:paraId="345AD1BB">
      <w:pPr>
        <w:pageBreakBefore w:val="0"/>
        <w:widowControl w:val="0"/>
        <w:kinsoku/>
        <w:wordWrap/>
        <w:overflowPunct/>
        <w:topLinePunct w:val="0"/>
        <w:autoSpaceDE/>
        <w:autoSpaceDN/>
        <w:bidi w:val="0"/>
        <w:snapToGrid/>
        <w:spacing w:line="600" w:lineRule="exact"/>
        <w:ind w:firstLine="640" w:firstLineChars="200"/>
        <w:textAlignment w:val="baseline"/>
        <w:rPr>
          <w:rFonts w:hint="eastAsia" w:eastAsia="仿宋_GB2312"/>
          <w:sz w:val="32"/>
          <w:szCs w:val="32"/>
        </w:rPr>
      </w:pPr>
      <w:r>
        <w:rPr>
          <w:rFonts w:hint="eastAsia" w:eastAsia="仿宋_GB2312"/>
          <w:sz w:val="32"/>
          <w:szCs w:val="32"/>
          <w:lang w:val="en-US" w:eastAsia="zh-CN"/>
        </w:rPr>
        <w:t>五</w:t>
      </w:r>
      <w:r>
        <w:rPr>
          <w:rFonts w:hint="eastAsia" w:eastAsia="仿宋_GB2312"/>
          <w:sz w:val="32"/>
          <w:szCs w:val="32"/>
        </w:rPr>
        <w:t>、</w:t>
      </w:r>
      <w:r>
        <w:rPr>
          <w:rFonts w:hint="eastAsia" w:eastAsia="仿宋_GB2312"/>
          <w:sz w:val="32"/>
          <w:szCs w:val="32"/>
          <w:lang w:eastAsia="zh-CN"/>
        </w:rPr>
        <w:t>项目</w:t>
      </w:r>
      <w:r>
        <w:rPr>
          <w:rFonts w:hint="eastAsia" w:eastAsia="仿宋_GB2312"/>
          <w:sz w:val="32"/>
          <w:szCs w:val="32"/>
        </w:rPr>
        <w:t>应执行以下</w:t>
      </w:r>
      <w:r>
        <w:rPr>
          <w:rFonts w:hint="eastAsia" w:eastAsia="仿宋_GB2312"/>
          <w:sz w:val="32"/>
          <w:szCs w:val="32"/>
          <w:lang w:eastAsia="zh-CN"/>
        </w:rPr>
        <w:t>排放</w:t>
      </w:r>
      <w:r>
        <w:rPr>
          <w:rFonts w:hint="eastAsia" w:eastAsia="仿宋_GB2312"/>
          <w:sz w:val="32"/>
          <w:szCs w:val="32"/>
        </w:rPr>
        <w:t>标准：</w:t>
      </w:r>
    </w:p>
    <w:p w14:paraId="1DC0DD41">
      <w:pPr>
        <w:pStyle w:val="17"/>
        <w:keepNext w:val="0"/>
        <w:keepLines w:val="0"/>
        <w:pageBreakBefore w:val="0"/>
        <w:widowControl w:val="0"/>
        <w:numPr>
          <w:ilvl w:val="0"/>
          <w:numId w:val="0"/>
        </w:numPr>
        <w:kinsoku/>
        <w:wordWrap/>
        <w:overflowPunct/>
        <w:topLinePunct w:val="0"/>
        <w:bidi w:val="0"/>
        <w:adjustRightInd/>
        <w:snapToGrid w:val="0"/>
        <w:spacing w:line="580" w:lineRule="exact"/>
        <w:ind w:firstLine="631"/>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eastAsia="仿宋_GB2312" w:cs="Times New Roman"/>
          <w:color w:val="auto"/>
          <w:kern w:val="2"/>
          <w:sz w:val="32"/>
          <w:szCs w:val="32"/>
          <w:lang w:val="en-US" w:eastAsia="zh-CN" w:bidi="ar-SA"/>
        </w:rPr>
        <w:t>加油站大气</w:t>
      </w:r>
      <w:r>
        <w:rPr>
          <w:rFonts w:hint="eastAsia" w:ascii="Times New Roman" w:hAnsi="Times New Roman" w:eastAsia="仿宋_GB2312" w:cs="Times New Roman"/>
          <w:color w:val="auto"/>
          <w:kern w:val="2"/>
          <w:sz w:val="32"/>
          <w:szCs w:val="32"/>
          <w:lang w:val="en-US" w:eastAsia="zh-CN" w:bidi="ar-SA"/>
        </w:rPr>
        <w:t>污染物排放标准》（DB12/</w:t>
      </w:r>
      <w:r>
        <w:rPr>
          <w:rFonts w:hint="eastAsia" w:ascii="Times New Roman" w:eastAsia="仿宋_GB2312" w:cs="Times New Roman"/>
          <w:color w:val="auto"/>
          <w:kern w:val="2"/>
          <w:sz w:val="32"/>
          <w:szCs w:val="32"/>
          <w:lang w:val="en-US" w:eastAsia="zh-CN" w:bidi="ar-SA"/>
        </w:rPr>
        <w:t>1302</w:t>
      </w:r>
      <w:r>
        <w:rPr>
          <w:rFonts w:hint="eastAsia" w:ascii="Times New Roman" w:hAnsi="Times New Roman" w:eastAsia="仿宋_GB2312" w:cs="Times New Roman"/>
          <w:color w:val="auto"/>
          <w:kern w:val="2"/>
          <w:sz w:val="32"/>
          <w:szCs w:val="32"/>
          <w:lang w:val="en-US" w:eastAsia="zh-CN" w:bidi="ar-SA"/>
        </w:rPr>
        <w:t>-20</w:t>
      </w:r>
      <w:r>
        <w:rPr>
          <w:rFonts w:hint="eastAsia" w:ascii="Times New Roman" w:eastAsia="仿宋_GB2312" w:cs="Times New Roman"/>
          <w:color w:val="auto"/>
          <w:kern w:val="2"/>
          <w:sz w:val="32"/>
          <w:szCs w:val="32"/>
          <w:lang w:val="en-US" w:eastAsia="zh-CN" w:bidi="ar-SA"/>
        </w:rPr>
        <w:t>24</w:t>
      </w:r>
      <w:r>
        <w:rPr>
          <w:rFonts w:hint="eastAsia" w:ascii="Times New Roman" w:hAnsi="Times New Roman" w:eastAsia="仿宋_GB2312" w:cs="Times New Roman"/>
          <w:color w:val="auto"/>
          <w:kern w:val="2"/>
          <w:sz w:val="32"/>
          <w:szCs w:val="32"/>
          <w:lang w:val="en-US" w:eastAsia="zh-CN" w:bidi="ar-SA"/>
        </w:rPr>
        <w:t>）；</w:t>
      </w:r>
    </w:p>
    <w:p w14:paraId="71BD0D04">
      <w:pPr>
        <w:pStyle w:val="17"/>
        <w:keepNext w:val="0"/>
        <w:keepLines w:val="0"/>
        <w:pageBreakBefore w:val="0"/>
        <w:widowControl w:val="0"/>
        <w:numPr>
          <w:ilvl w:val="0"/>
          <w:numId w:val="0"/>
        </w:numPr>
        <w:kinsoku/>
        <w:wordWrap/>
        <w:overflowPunct/>
        <w:topLinePunct w:val="0"/>
        <w:bidi w:val="0"/>
        <w:adjustRightInd/>
        <w:snapToGrid w:val="0"/>
        <w:spacing w:line="580" w:lineRule="exact"/>
        <w:ind w:firstLine="631"/>
        <w:jc w:val="both"/>
        <w:textAlignment w:val="auto"/>
        <w:outlineLvl w:val="9"/>
        <w:rPr>
          <w:rFonts w:hint="eastAsia" w:ascii="Times New Roman" w:hAnsi="Times New Roman" w:eastAsia="仿宋_GB2312" w:cs="Times New Roman"/>
          <w:color w:val="auto"/>
          <w:kern w:val="2"/>
          <w:sz w:val="32"/>
          <w:szCs w:val="32"/>
          <w:lang w:val="en-US" w:eastAsia="zh-CN" w:bidi="ar-SA"/>
        </w:rPr>
      </w:pPr>
      <w:r>
        <w:rPr>
          <w:rFonts w:hint="eastAsia" w:asci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kern w:val="2"/>
          <w:sz w:val="32"/>
          <w:szCs w:val="32"/>
          <w:lang w:val="en-US" w:eastAsia="zh-CN" w:bidi="ar-SA"/>
        </w:rPr>
        <w:t>《工业企业厂界环境噪声排放标准》（GB12348-2008）</w:t>
      </w:r>
      <w:r>
        <w:rPr>
          <w:rFonts w:hint="eastAsia" w:asci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kern w:val="2"/>
          <w:sz w:val="32"/>
          <w:szCs w:val="32"/>
          <w:lang w:val="en-US" w:eastAsia="zh-CN" w:bidi="ar-SA"/>
        </w:rPr>
        <w:t>类</w:t>
      </w:r>
      <w:r>
        <w:rPr>
          <w:rFonts w:hint="eastAsia" w:ascii="Times New Roman" w:eastAsia="仿宋_GB2312" w:cs="Times New Roman"/>
          <w:color w:val="auto"/>
          <w:kern w:val="2"/>
          <w:sz w:val="32"/>
          <w:szCs w:val="32"/>
          <w:lang w:val="en-US" w:eastAsia="zh-CN" w:bidi="ar-SA"/>
        </w:rPr>
        <w:t>、4类</w:t>
      </w:r>
      <w:r>
        <w:rPr>
          <w:rFonts w:hint="eastAsia" w:ascii="仿宋_GB2312" w:hAnsi="仿宋_GB2312" w:eastAsia="仿宋_GB2312" w:cs="仿宋_GB2312"/>
          <w:sz w:val="32"/>
          <w:szCs w:val="32"/>
          <w:lang w:val="en-US" w:eastAsia="zh-CN"/>
        </w:rPr>
        <w:t>；</w:t>
      </w:r>
    </w:p>
    <w:p w14:paraId="1B8B3CE3">
      <w:pPr>
        <w:pStyle w:val="17"/>
        <w:keepNext w:val="0"/>
        <w:keepLines w:val="0"/>
        <w:pageBreakBefore w:val="0"/>
        <w:widowControl w:val="0"/>
        <w:numPr>
          <w:ilvl w:val="0"/>
          <w:numId w:val="0"/>
        </w:numPr>
        <w:kinsoku/>
        <w:wordWrap/>
        <w:overflowPunct/>
        <w:topLinePunct w:val="0"/>
        <w:bidi w:val="0"/>
        <w:adjustRightInd/>
        <w:snapToGrid w:val="0"/>
        <w:spacing w:line="580" w:lineRule="exact"/>
        <w:ind w:firstLine="631"/>
        <w:jc w:val="both"/>
        <w:textAlignment w:val="auto"/>
        <w:outlineLvl w:val="9"/>
        <w:rPr>
          <w:rFonts w:hint="eastAsia" w:ascii="Times New Roman" w:hAnsi="Times New Roman" w:eastAsia="仿宋_GB2312" w:cs="Times New Roman"/>
          <w:color w:val="auto"/>
          <w:kern w:val="2"/>
          <w:sz w:val="32"/>
          <w:szCs w:val="32"/>
          <w:lang w:val="en-US" w:eastAsia="zh-CN" w:bidi="ar-SA"/>
        </w:rPr>
      </w:pPr>
      <w:r>
        <w:rPr>
          <w:rFonts w:hint="eastAsia" w:asci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en-US" w:eastAsia="zh-CN" w:bidi="ar-SA"/>
        </w:rPr>
        <w:t>.《危险废物贮存污染控制标准》（GB18597-2023）；</w:t>
      </w:r>
    </w:p>
    <w:p w14:paraId="08182D51">
      <w:pPr>
        <w:pStyle w:val="17"/>
        <w:keepNext w:val="0"/>
        <w:keepLines w:val="0"/>
        <w:pageBreakBefore w:val="0"/>
        <w:widowControl w:val="0"/>
        <w:numPr>
          <w:ilvl w:val="0"/>
          <w:numId w:val="0"/>
        </w:numPr>
        <w:kinsoku/>
        <w:wordWrap/>
        <w:overflowPunct/>
        <w:topLinePunct w:val="0"/>
        <w:bidi w:val="0"/>
        <w:adjustRightInd/>
        <w:snapToGrid w:val="0"/>
        <w:spacing w:line="580" w:lineRule="exact"/>
        <w:ind w:firstLine="631"/>
        <w:jc w:val="both"/>
        <w:textAlignment w:val="auto"/>
        <w:outlineLvl w:val="9"/>
        <w:rPr>
          <w:rFonts w:hint="eastAsia" w:ascii="Times New Roman" w:hAnsi="Times New Roman" w:eastAsia="仿宋_GB2312" w:cs="Times New Roman"/>
          <w:color w:val="auto"/>
          <w:kern w:val="2"/>
          <w:sz w:val="32"/>
          <w:szCs w:val="32"/>
          <w:lang w:val="en-US" w:eastAsia="zh-CN" w:bidi="ar-SA"/>
        </w:rPr>
      </w:pPr>
      <w:r>
        <w:rPr>
          <w:rFonts w:hint="eastAsia" w:ascii="Times New Roman"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en-US" w:eastAsia="zh-CN" w:bidi="ar-SA"/>
        </w:rPr>
        <w:t>.</w:t>
      </w:r>
      <w:r>
        <w:rPr>
          <w:rFonts w:hint="eastAsia" w:eastAsia="仿宋_GB2312" w:cs="Times New Roman"/>
          <w:sz w:val="32"/>
          <w:szCs w:val="32"/>
          <w:lang w:val="en-US" w:eastAsia="zh-CN"/>
        </w:rPr>
        <w:t>《危险废物收集 贮存 运输技术规范》</w:t>
      </w:r>
      <w:r>
        <w:rPr>
          <w:rFonts w:hint="eastAsia" w:ascii="Times New Roman" w:hAnsi="Times New Roman" w:eastAsia="仿宋_GB2312" w:cs="Times New Roman"/>
          <w:color w:val="auto"/>
          <w:kern w:val="2"/>
          <w:sz w:val="32"/>
          <w:szCs w:val="32"/>
          <w:lang w:val="en-US" w:eastAsia="zh-CN" w:bidi="ar-SA"/>
        </w:rPr>
        <w:t>（HJ2025-2012）。</w:t>
      </w:r>
    </w:p>
    <w:p w14:paraId="6B38A3D6">
      <w:pPr>
        <w:pageBreakBefore w:val="0"/>
        <w:widowControl w:val="0"/>
        <w:kinsoku/>
        <w:wordWrap/>
        <w:overflowPunct/>
        <w:topLinePunct w:val="0"/>
        <w:autoSpaceDE/>
        <w:autoSpaceDN/>
        <w:bidi w:val="0"/>
        <w:snapToGrid/>
        <w:spacing w:line="600" w:lineRule="exact"/>
        <w:ind w:firstLine="640" w:firstLineChars="200"/>
        <w:textAlignment w:val="baseline"/>
        <w:rPr>
          <w:rFonts w:hint="eastAsia" w:eastAsia="仿宋_GB2312"/>
          <w:sz w:val="32"/>
          <w:szCs w:val="32"/>
          <w:lang w:eastAsia="zh-CN"/>
        </w:rPr>
      </w:pPr>
      <w:r>
        <w:rPr>
          <w:rFonts w:hint="eastAsia" w:eastAsia="仿宋_GB2312"/>
          <w:sz w:val="32"/>
          <w:szCs w:val="32"/>
        </w:rPr>
        <w:t>此复</w:t>
      </w:r>
      <w:r>
        <w:rPr>
          <w:rFonts w:hint="eastAsia" w:eastAsia="仿宋_GB2312"/>
          <w:sz w:val="32"/>
          <w:szCs w:val="32"/>
          <w:lang w:eastAsia="zh-CN"/>
        </w:rPr>
        <w:t>。</w:t>
      </w:r>
    </w:p>
    <w:p w14:paraId="64CF959C">
      <w:pPr>
        <w:pStyle w:val="2"/>
        <w:rPr>
          <w:rFonts w:hint="eastAsia" w:eastAsia="仿宋_GB2312"/>
          <w:sz w:val="32"/>
          <w:szCs w:val="32"/>
          <w:lang w:eastAsia="zh-CN"/>
        </w:rPr>
      </w:pPr>
    </w:p>
    <w:p w14:paraId="6C88949A">
      <w:pPr>
        <w:rPr>
          <w:rFonts w:hint="eastAsia" w:eastAsia="仿宋_GB2312"/>
          <w:sz w:val="32"/>
          <w:szCs w:val="32"/>
          <w:lang w:eastAsia="zh-CN"/>
        </w:rPr>
      </w:pPr>
    </w:p>
    <w:p w14:paraId="03188B20">
      <w:pPr>
        <w:pStyle w:val="2"/>
      </w:pPr>
    </w:p>
    <w:p w14:paraId="03B47BC0">
      <w:pPr>
        <w:keepNext w:val="0"/>
        <w:keepLines w:val="0"/>
        <w:pageBreakBefore w:val="0"/>
        <w:widowControl w:val="0"/>
        <w:kinsoku/>
        <w:wordWrap w:val="0"/>
        <w:overflowPunct/>
        <w:topLinePunct w:val="0"/>
        <w:autoSpaceDE/>
        <w:autoSpaceDN/>
        <w:bidi w:val="0"/>
        <w:adjustRightInd/>
        <w:snapToGrid/>
        <w:spacing w:line="360" w:lineRule="auto"/>
        <w:ind w:left="0" w:leftChars="0" w:right="840" w:rightChars="400" w:firstLine="1280" w:firstLineChars="400"/>
        <w:jc w:val="right"/>
        <w:textAlignment w:val="auto"/>
        <w:outlineLvl w:val="9"/>
        <w:rPr>
          <w:rFonts w:hint="eastAsia" w:eastAsia="仿宋_GB2312"/>
          <w:lang w:val="en-US" w:eastAsia="zh-CN"/>
        </w:rPr>
      </w:pPr>
      <w:r>
        <w:rPr>
          <w:rFonts w:hint="default" w:ascii="Times New Roman" w:hAnsi="Times New Roman" w:eastAsia="仿宋_GB2312" w:cs="Times New Roman"/>
          <w:sz w:val="32"/>
          <w:szCs w:val="32"/>
        </w:rPr>
        <w:t>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rPr>
        <w:t>日</w:t>
      </w:r>
    </w:p>
    <w:p w14:paraId="359064CA">
      <w:pPr>
        <w:pStyle w:val="1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lang w:val="en-US" w:eastAsia="zh-CN"/>
        </w:rPr>
      </w:pPr>
    </w:p>
    <w:p w14:paraId="1CE92B6E">
      <w:pPr>
        <w:rPr>
          <w:rFonts w:hint="eastAsia"/>
          <w:lang w:val="en-US" w:eastAsia="zh-CN"/>
        </w:rPr>
      </w:pPr>
    </w:p>
    <w:p w14:paraId="4FD6F383">
      <w:pPr>
        <w:pStyle w:val="2"/>
        <w:rPr>
          <w:rFonts w:hint="eastAsia"/>
          <w:lang w:val="en-US" w:eastAsia="zh-CN"/>
        </w:rPr>
      </w:pPr>
    </w:p>
    <w:p w14:paraId="6DB46FC6">
      <w:pPr>
        <w:rPr>
          <w:rFonts w:hint="eastAsia"/>
          <w:lang w:val="en-US" w:eastAsia="zh-CN"/>
        </w:rPr>
      </w:pPr>
    </w:p>
    <w:p w14:paraId="219A9191">
      <w:pPr>
        <w:pStyle w:val="2"/>
        <w:rPr>
          <w:rFonts w:hint="eastAsia"/>
          <w:lang w:val="en-US" w:eastAsia="zh-CN"/>
        </w:rPr>
      </w:pPr>
    </w:p>
    <w:p w14:paraId="281FF45C">
      <w:pPr>
        <w:rPr>
          <w:rFonts w:hint="eastAsia"/>
          <w:lang w:val="en-US" w:eastAsia="zh-CN"/>
        </w:rPr>
      </w:pPr>
    </w:p>
    <w:p w14:paraId="3E5828B9">
      <w:pPr>
        <w:pStyle w:val="2"/>
        <w:rPr>
          <w:rFonts w:hint="eastAsia"/>
          <w:lang w:val="en-US" w:eastAsia="zh-CN"/>
        </w:rPr>
      </w:pPr>
    </w:p>
    <w:p w14:paraId="54845BD8">
      <w:pPr>
        <w:pStyle w:val="2"/>
        <w:rPr>
          <w:rFonts w:hint="eastAsia"/>
          <w:lang w:val="en-US" w:eastAsia="zh-CN"/>
        </w:rPr>
      </w:pPr>
    </w:p>
    <w:p w14:paraId="11C1CA5B">
      <w:pPr>
        <w:rPr>
          <w:rFonts w:hint="eastAsia"/>
          <w:lang w:val="en-US" w:eastAsia="zh-CN"/>
        </w:rPr>
      </w:pPr>
    </w:p>
    <w:p w14:paraId="71A88FAB">
      <w:pPr>
        <w:pStyle w:val="2"/>
        <w:rPr>
          <w:rFonts w:hint="eastAsia"/>
          <w:lang w:val="en-US" w:eastAsia="zh-CN"/>
        </w:rPr>
      </w:pPr>
    </w:p>
    <w:p w14:paraId="05985C7F">
      <w:pPr>
        <w:spacing w:line="6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主题词：环境影响</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报告</w:t>
      </w:r>
      <w:r>
        <w:rPr>
          <w:rFonts w:hint="eastAsia" w:eastAsia="仿宋_GB2312" w:cs="Times New Roman"/>
          <w:sz w:val="28"/>
          <w:szCs w:val="28"/>
          <w:lang w:eastAsia="zh-CN"/>
        </w:rPr>
        <w:t>表</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批复</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（共印</w:t>
      </w:r>
      <w:r>
        <w:rPr>
          <w:rFonts w:hint="eastAsia" w:eastAsia="仿宋_GB2312" w:cs="Times New Roman"/>
          <w:sz w:val="28"/>
          <w:szCs w:val="28"/>
          <w:lang w:val="en-US" w:eastAsia="zh-CN"/>
        </w:rPr>
        <w:t>3</w:t>
      </w:r>
      <w:r>
        <w:rPr>
          <w:rFonts w:hint="default" w:ascii="Times New Roman" w:hAnsi="Times New Roman" w:eastAsia="仿宋_GB2312" w:cs="Times New Roman"/>
          <w:sz w:val="28"/>
          <w:szCs w:val="28"/>
        </w:rPr>
        <w:t>份）</w:t>
      </w:r>
    </w:p>
    <w:tbl>
      <w:tblPr>
        <w:tblStyle w:val="7"/>
        <w:tblW w:w="9054" w:type="dxa"/>
        <w:jc w:val="center"/>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4B60737E">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jc w:val="center"/>
        </w:trPr>
        <w:tc>
          <w:tcPr>
            <w:tcW w:w="9054" w:type="dxa"/>
            <w:tcBorders>
              <w:top w:val="single" w:color="auto" w:sz="8" w:space="0"/>
              <w:bottom w:val="single" w:color="auto" w:sz="8" w:space="0"/>
            </w:tcBorders>
            <w:vAlign w:val="center"/>
          </w:tcPr>
          <w:p w14:paraId="260F91E9">
            <w:pPr>
              <w:spacing w:line="360" w:lineRule="auto"/>
              <w:ind w:right="160"/>
              <w:jc w:val="both"/>
              <w:rPr>
                <w:rFonts w:hint="default" w:ascii="Times New Roman" w:hAnsi="Times New Roman" w:cs="Times New Roman"/>
                <w:sz w:val="32"/>
              </w:rPr>
            </w:pPr>
            <w:r>
              <w:rPr>
                <w:rFonts w:hint="default" w:ascii="Times New Roman" w:hAnsi="Times New Roman" w:eastAsia="仿宋_GB2312" w:cs="Times New Roman"/>
                <w:sz w:val="28"/>
                <w:szCs w:val="28"/>
              </w:rPr>
              <w:t>抄</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送：天津市滨海新区生态环境局</w:t>
            </w:r>
          </w:p>
        </w:tc>
      </w:tr>
    </w:tbl>
    <w:p w14:paraId="288808BE">
      <w:pPr>
        <w:rPr>
          <w:rFonts w:hint="eastAsia" w:ascii="仿宋_GB2312" w:eastAsia="仿宋_GB2312"/>
          <w:sz w:val="32"/>
          <w:szCs w:val="32"/>
          <w:lang w:val="en-US" w:eastAsia="zh-CN"/>
        </w:rPr>
      </w:pPr>
      <w:r>
        <w:rPr>
          <w:rFonts w:hint="default" w:ascii="Times New Roman" w:hAnsi="Times New Roman" w:eastAsia="仿宋_GB2312" w:cs="Times New Roman"/>
          <w:sz w:val="28"/>
          <w:szCs w:val="28"/>
        </w:rPr>
        <w:t>天津市滨海新区行政审批局</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11</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19</w:t>
      </w:r>
      <w:r>
        <w:rPr>
          <w:rFonts w:hint="default" w:ascii="Times New Roman" w:hAnsi="Times New Roman" w:eastAsia="仿宋_GB2312" w:cs="Times New Roman"/>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316D">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3DC86">
                          <w:pPr>
                            <w:pStyle w:val="5"/>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- 1 -</w:t>
                          </w:r>
                          <w:r>
                            <w:rPr>
                              <w:rStyle w:val="9"/>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D3DC86">
                    <w:pPr>
                      <w:pStyle w:val="5"/>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- 1 -</w:t>
                    </w:r>
                    <w:r>
                      <w:rPr>
                        <w:rStyle w:val="9"/>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D4867">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511846C5">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2IxYWRjN2EzMDcyYTNjZmRhN2U4ZWRiYWRmNGEifQ=="/>
  </w:docVars>
  <w:rsids>
    <w:rsidRoot w:val="00745E92"/>
    <w:rsid w:val="000052E2"/>
    <w:rsid w:val="000D0BAA"/>
    <w:rsid w:val="000F7AB4"/>
    <w:rsid w:val="0010188A"/>
    <w:rsid w:val="001070EC"/>
    <w:rsid w:val="00145F43"/>
    <w:rsid w:val="00152774"/>
    <w:rsid w:val="00180D2F"/>
    <w:rsid w:val="001964EB"/>
    <w:rsid w:val="001A023C"/>
    <w:rsid w:val="00234BD5"/>
    <w:rsid w:val="00254B41"/>
    <w:rsid w:val="00264E73"/>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6183"/>
    <w:rsid w:val="00AD7A1F"/>
    <w:rsid w:val="00B375DB"/>
    <w:rsid w:val="00B941D8"/>
    <w:rsid w:val="00BF6B0B"/>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1464BF0"/>
    <w:rsid w:val="01605565"/>
    <w:rsid w:val="017D0E60"/>
    <w:rsid w:val="017E6F26"/>
    <w:rsid w:val="01CF4B91"/>
    <w:rsid w:val="022C4AC3"/>
    <w:rsid w:val="024445BE"/>
    <w:rsid w:val="027F104C"/>
    <w:rsid w:val="029F0F02"/>
    <w:rsid w:val="03171546"/>
    <w:rsid w:val="031C0752"/>
    <w:rsid w:val="03EA0063"/>
    <w:rsid w:val="04970BC1"/>
    <w:rsid w:val="04AD0797"/>
    <w:rsid w:val="051540DF"/>
    <w:rsid w:val="055D49DC"/>
    <w:rsid w:val="06DA075B"/>
    <w:rsid w:val="079075EF"/>
    <w:rsid w:val="07CF6683"/>
    <w:rsid w:val="08A27CFE"/>
    <w:rsid w:val="08CC7EF8"/>
    <w:rsid w:val="08CE0793"/>
    <w:rsid w:val="09EC6EB3"/>
    <w:rsid w:val="09F31F3F"/>
    <w:rsid w:val="0A616717"/>
    <w:rsid w:val="0A7B58F8"/>
    <w:rsid w:val="0A993ECD"/>
    <w:rsid w:val="0ACB74F4"/>
    <w:rsid w:val="0AFD432E"/>
    <w:rsid w:val="0B060872"/>
    <w:rsid w:val="0B0D5A13"/>
    <w:rsid w:val="0B6D14B7"/>
    <w:rsid w:val="0BBB7DA4"/>
    <w:rsid w:val="0BBF6171"/>
    <w:rsid w:val="0C187190"/>
    <w:rsid w:val="0C2E1BB9"/>
    <w:rsid w:val="0C7B1B6D"/>
    <w:rsid w:val="0CD111DE"/>
    <w:rsid w:val="0D4A2370"/>
    <w:rsid w:val="0D531267"/>
    <w:rsid w:val="0D777966"/>
    <w:rsid w:val="0D885FD0"/>
    <w:rsid w:val="0D8D305A"/>
    <w:rsid w:val="0DA17C0A"/>
    <w:rsid w:val="0DA30438"/>
    <w:rsid w:val="0E491814"/>
    <w:rsid w:val="0EA6106F"/>
    <w:rsid w:val="0F15100D"/>
    <w:rsid w:val="0FA859B9"/>
    <w:rsid w:val="0FAF67EF"/>
    <w:rsid w:val="0FBF42EC"/>
    <w:rsid w:val="106A6FF4"/>
    <w:rsid w:val="111D5E14"/>
    <w:rsid w:val="11771A51"/>
    <w:rsid w:val="11D91F41"/>
    <w:rsid w:val="126758C9"/>
    <w:rsid w:val="13510475"/>
    <w:rsid w:val="135F4C81"/>
    <w:rsid w:val="138327ED"/>
    <w:rsid w:val="13836188"/>
    <w:rsid w:val="13884674"/>
    <w:rsid w:val="1394016C"/>
    <w:rsid w:val="14367871"/>
    <w:rsid w:val="149802DC"/>
    <w:rsid w:val="14BC1DE8"/>
    <w:rsid w:val="1518002A"/>
    <w:rsid w:val="1534372C"/>
    <w:rsid w:val="153B30B7"/>
    <w:rsid w:val="15794D99"/>
    <w:rsid w:val="15C76F90"/>
    <w:rsid w:val="15DE40BE"/>
    <w:rsid w:val="16420B4B"/>
    <w:rsid w:val="172A228F"/>
    <w:rsid w:val="17977B39"/>
    <w:rsid w:val="17B46048"/>
    <w:rsid w:val="180E7B33"/>
    <w:rsid w:val="184D3DB0"/>
    <w:rsid w:val="18865F91"/>
    <w:rsid w:val="18B55B11"/>
    <w:rsid w:val="19827E91"/>
    <w:rsid w:val="19B95B36"/>
    <w:rsid w:val="19C23FA1"/>
    <w:rsid w:val="1ADD0573"/>
    <w:rsid w:val="1B164FFC"/>
    <w:rsid w:val="1B287C5C"/>
    <w:rsid w:val="1BCA2427"/>
    <w:rsid w:val="1BCC17F9"/>
    <w:rsid w:val="1BEC41F5"/>
    <w:rsid w:val="1C8B4002"/>
    <w:rsid w:val="1CDA4AF5"/>
    <w:rsid w:val="1D992813"/>
    <w:rsid w:val="1DA0597E"/>
    <w:rsid w:val="1DF3687A"/>
    <w:rsid w:val="1E742A13"/>
    <w:rsid w:val="1E7D35AE"/>
    <w:rsid w:val="1E8563FC"/>
    <w:rsid w:val="1E860E96"/>
    <w:rsid w:val="1F3259C6"/>
    <w:rsid w:val="1F643E9E"/>
    <w:rsid w:val="1FE81CE3"/>
    <w:rsid w:val="21793149"/>
    <w:rsid w:val="217E0DA2"/>
    <w:rsid w:val="21B30864"/>
    <w:rsid w:val="21D74401"/>
    <w:rsid w:val="220D79D5"/>
    <w:rsid w:val="22410F71"/>
    <w:rsid w:val="228D1920"/>
    <w:rsid w:val="22B14836"/>
    <w:rsid w:val="235F1C43"/>
    <w:rsid w:val="23A83C63"/>
    <w:rsid w:val="246E51C2"/>
    <w:rsid w:val="24977834"/>
    <w:rsid w:val="251F2C93"/>
    <w:rsid w:val="25930AA1"/>
    <w:rsid w:val="25B77F28"/>
    <w:rsid w:val="261C2711"/>
    <w:rsid w:val="2629371B"/>
    <w:rsid w:val="26333F5B"/>
    <w:rsid w:val="264C63DC"/>
    <w:rsid w:val="27673E35"/>
    <w:rsid w:val="27927955"/>
    <w:rsid w:val="27DF6D5B"/>
    <w:rsid w:val="28A50490"/>
    <w:rsid w:val="290416FB"/>
    <w:rsid w:val="2981365B"/>
    <w:rsid w:val="2A540769"/>
    <w:rsid w:val="2A8E570B"/>
    <w:rsid w:val="2AA44376"/>
    <w:rsid w:val="2B454D2A"/>
    <w:rsid w:val="2B5A4C61"/>
    <w:rsid w:val="2B892A8E"/>
    <w:rsid w:val="2CDE6947"/>
    <w:rsid w:val="2D1C121E"/>
    <w:rsid w:val="2D3D4A03"/>
    <w:rsid w:val="2D505997"/>
    <w:rsid w:val="2DA85F50"/>
    <w:rsid w:val="2DE85F13"/>
    <w:rsid w:val="2E0E42AB"/>
    <w:rsid w:val="2E727497"/>
    <w:rsid w:val="2EC823DC"/>
    <w:rsid w:val="2FC339E9"/>
    <w:rsid w:val="31140AC3"/>
    <w:rsid w:val="315B3926"/>
    <w:rsid w:val="317438B8"/>
    <w:rsid w:val="31C439B0"/>
    <w:rsid w:val="31D3618D"/>
    <w:rsid w:val="31E47D3B"/>
    <w:rsid w:val="31F61C3D"/>
    <w:rsid w:val="32386F67"/>
    <w:rsid w:val="32E0346C"/>
    <w:rsid w:val="330A7AD7"/>
    <w:rsid w:val="334140DE"/>
    <w:rsid w:val="33937C59"/>
    <w:rsid w:val="33CC3E98"/>
    <w:rsid w:val="33F00D0E"/>
    <w:rsid w:val="3489363D"/>
    <w:rsid w:val="34C41626"/>
    <w:rsid w:val="34D7709C"/>
    <w:rsid w:val="34DD613F"/>
    <w:rsid w:val="35134CB4"/>
    <w:rsid w:val="3536679E"/>
    <w:rsid w:val="36295F4D"/>
    <w:rsid w:val="36335DA3"/>
    <w:rsid w:val="3678062E"/>
    <w:rsid w:val="36CA1CEB"/>
    <w:rsid w:val="36FB7479"/>
    <w:rsid w:val="37FD68A6"/>
    <w:rsid w:val="381E3F32"/>
    <w:rsid w:val="387B329C"/>
    <w:rsid w:val="393B4C3B"/>
    <w:rsid w:val="393E494F"/>
    <w:rsid w:val="3982447C"/>
    <w:rsid w:val="39851AEA"/>
    <w:rsid w:val="399A2EB5"/>
    <w:rsid w:val="3A0C72B3"/>
    <w:rsid w:val="3A661D2A"/>
    <w:rsid w:val="3B40688F"/>
    <w:rsid w:val="3B466E46"/>
    <w:rsid w:val="3B9F7077"/>
    <w:rsid w:val="3BFBE9DD"/>
    <w:rsid w:val="3C0B33E8"/>
    <w:rsid w:val="3C491AF5"/>
    <w:rsid w:val="3CB16EAA"/>
    <w:rsid w:val="3D1B42E3"/>
    <w:rsid w:val="3D8D3BBB"/>
    <w:rsid w:val="3DB85996"/>
    <w:rsid w:val="3DFB9E8A"/>
    <w:rsid w:val="3E053D44"/>
    <w:rsid w:val="3E402F1B"/>
    <w:rsid w:val="3E5E1696"/>
    <w:rsid w:val="3E6B05F3"/>
    <w:rsid w:val="3E6DB9E0"/>
    <w:rsid w:val="3EA45378"/>
    <w:rsid w:val="3ECB1DCB"/>
    <w:rsid w:val="3ECF4F30"/>
    <w:rsid w:val="3F8A7146"/>
    <w:rsid w:val="3F8C5D8F"/>
    <w:rsid w:val="3FB554E3"/>
    <w:rsid w:val="3FFDA9E2"/>
    <w:rsid w:val="40CC4B7A"/>
    <w:rsid w:val="416743B2"/>
    <w:rsid w:val="419A35AC"/>
    <w:rsid w:val="41BA15F9"/>
    <w:rsid w:val="420A2FF8"/>
    <w:rsid w:val="42195A6A"/>
    <w:rsid w:val="42305D37"/>
    <w:rsid w:val="423E4456"/>
    <w:rsid w:val="43300D0C"/>
    <w:rsid w:val="43AE49AE"/>
    <w:rsid w:val="449B45DA"/>
    <w:rsid w:val="44A4730E"/>
    <w:rsid w:val="44F21C4B"/>
    <w:rsid w:val="451E0DCE"/>
    <w:rsid w:val="45AD6951"/>
    <w:rsid w:val="45C74225"/>
    <w:rsid w:val="463C00DC"/>
    <w:rsid w:val="46964440"/>
    <w:rsid w:val="47221287"/>
    <w:rsid w:val="47845592"/>
    <w:rsid w:val="483B3434"/>
    <w:rsid w:val="485477BF"/>
    <w:rsid w:val="485D46A3"/>
    <w:rsid w:val="488B15A1"/>
    <w:rsid w:val="48B431C7"/>
    <w:rsid w:val="48C10798"/>
    <w:rsid w:val="48E249BB"/>
    <w:rsid w:val="48E41E9D"/>
    <w:rsid w:val="49565417"/>
    <w:rsid w:val="49A0744E"/>
    <w:rsid w:val="4A13595D"/>
    <w:rsid w:val="4AE83298"/>
    <w:rsid w:val="4B106CD2"/>
    <w:rsid w:val="4C804ECE"/>
    <w:rsid w:val="4C895B69"/>
    <w:rsid w:val="4C8F6EBF"/>
    <w:rsid w:val="4D673914"/>
    <w:rsid w:val="4D7A256B"/>
    <w:rsid w:val="4E153A5F"/>
    <w:rsid w:val="4E4D2F26"/>
    <w:rsid w:val="4E8945D0"/>
    <w:rsid w:val="4EA51583"/>
    <w:rsid w:val="4F016F2E"/>
    <w:rsid w:val="4F9E2FE4"/>
    <w:rsid w:val="5015592D"/>
    <w:rsid w:val="502925FF"/>
    <w:rsid w:val="50C54397"/>
    <w:rsid w:val="50D413E4"/>
    <w:rsid w:val="50FE2349"/>
    <w:rsid w:val="517F3AB5"/>
    <w:rsid w:val="51872AF4"/>
    <w:rsid w:val="51A67184"/>
    <w:rsid w:val="51A96376"/>
    <w:rsid w:val="51DD250C"/>
    <w:rsid w:val="51F37B94"/>
    <w:rsid w:val="51FF48CF"/>
    <w:rsid w:val="5261193E"/>
    <w:rsid w:val="52B31C66"/>
    <w:rsid w:val="531E35D8"/>
    <w:rsid w:val="53333171"/>
    <w:rsid w:val="53334AA9"/>
    <w:rsid w:val="537F0991"/>
    <w:rsid w:val="541A70D3"/>
    <w:rsid w:val="549A53C8"/>
    <w:rsid w:val="55EA59D7"/>
    <w:rsid w:val="56112734"/>
    <w:rsid w:val="56266096"/>
    <w:rsid w:val="562D4626"/>
    <w:rsid w:val="567E48CA"/>
    <w:rsid w:val="56F00E14"/>
    <w:rsid w:val="5750757E"/>
    <w:rsid w:val="57997CF2"/>
    <w:rsid w:val="57C41920"/>
    <w:rsid w:val="57F94E38"/>
    <w:rsid w:val="57FF75EE"/>
    <w:rsid w:val="581A10A7"/>
    <w:rsid w:val="585F254A"/>
    <w:rsid w:val="58780A79"/>
    <w:rsid w:val="590D6ECD"/>
    <w:rsid w:val="59465D4C"/>
    <w:rsid w:val="59A10B54"/>
    <w:rsid w:val="5A9211A0"/>
    <w:rsid w:val="5AC92802"/>
    <w:rsid w:val="5ADD6D22"/>
    <w:rsid w:val="5B9C1C61"/>
    <w:rsid w:val="5BB400A8"/>
    <w:rsid w:val="5BF87ACE"/>
    <w:rsid w:val="5C026973"/>
    <w:rsid w:val="5CE11D93"/>
    <w:rsid w:val="5D1A2FE5"/>
    <w:rsid w:val="5DB84FA9"/>
    <w:rsid w:val="5DFBB8A9"/>
    <w:rsid w:val="5E0A1E6D"/>
    <w:rsid w:val="5E2A6CFE"/>
    <w:rsid w:val="5E560298"/>
    <w:rsid w:val="5E826290"/>
    <w:rsid w:val="5F681031"/>
    <w:rsid w:val="5F801077"/>
    <w:rsid w:val="5F9A6485"/>
    <w:rsid w:val="608955B2"/>
    <w:rsid w:val="60F11A9E"/>
    <w:rsid w:val="619F7DE0"/>
    <w:rsid w:val="61AB56BE"/>
    <w:rsid w:val="61C13103"/>
    <w:rsid w:val="61F11BB7"/>
    <w:rsid w:val="6204686E"/>
    <w:rsid w:val="628A6975"/>
    <w:rsid w:val="62CE6511"/>
    <w:rsid w:val="62F9157D"/>
    <w:rsid w:val="632B573B"/>
    <w:rsid w:val="639D09CB"/>
    <w:rsid w:val="63A519FA"/>
    <w:rsid w:val="63C42AC6"/>
    <w:rsid w:val="64184EA5"/>
    <w:rsid w:val="64EB5531"/>
    <w:rsid w:val="661971CB"/>
    <w:rsid w:val="661F34CF"/>
    <w:rsid w:val="6646288C"/>
    <w:rsid w:val="668D04BB"/>
    <w:rsid w:val="66D21510"/>
    <w:rsid w:val="66EA76BB"/>
    <w:rsid w:val="67777536"/>
    <w:rsid w:val="68297EB5"/>
    <w:rsid w:val="686A0B4A"/>
    <w:rsid w:val="68CD0632"/>
    <w:rsid w:val="6A2E0B93"/>
    <w:rsid w:val="6A667059"/>
    <w:rsid w:val="6A68020F"/>
    <w:rsid w:val="6B283627"/>
    <w:rsid w:val="6B622B93"/>
    <w:rsid w:val="6C1F0BE5"/>
    <w:rsid w:val="6CBE07C5"/>
    <w:rsid w:val="6CD80DA2"/>
    <w:rsid w:val="6CE124F8"/>
    <w:rsid w:val="6DAA54AF"/>
    <w:rsid w:val="6DB45008"/>
    <w:rsid w:val="6DD36B17"/>
    <w:rsid w:val="6E054B12"/>
    <w:rsid w:val="6E3343F3"/>
    <w:rsid w:val="6EFC61DE"/>
    <w:rsid w:val="6F2605FE"/>
    <w:rsid w:val="6F4020DE"/>
    <w:rsid w:val="6FF3011B"/>
    <w:rsid w:val="6FF944CB"/>
    <w:rsid w:val="6FFEDC89"/>
    <w:rsid w:val="706E47D2"/>
    <w:rsid w:val="70972FA1"/>
    <w:rsid w:val="70E442E8"/>
    <w:rsid w:val="71B60E95"/>
    <w:rsid w:val="71F065BA"/>
    <w:rsid w:val="71F78021"/>
    <w:rsid w:val="720B3587"/>
    <w:rsid w:val="729829D6"/>
    <w:rsid w:val="73067FA2"/>
    <w:rsid w:val="73107CFC"/>
    <w:rsid w:val="73337CF4"/>
    <w:rsid w:val="73481498"/>
    <w:rsid w:val="734D635D"/>
    <w:rsid w:val="735D6A13"/>
    <w:rsid w:val="73935D89"/>
    <w:rsid w:val="73B85F75"/>
    <w:rsid w:val="73C20023"/>
    <w:rsid w:val="73C90575"/>
    <w:rsid w:val="74235FBB"/>
    <w:rsid w:val="7458541A"/>
    <w:rsid w:val="7479752E"/>
    <w:rsid w:val="747B5FDA"/>
    <w:rsid w:val="748618C1"/>
    <w:rsid w:val="74A26258"/>
    <w:rsid w:val="74CD0A03"/>
    <w:rsid w:val="753FB3D7"/>
    <w:rsid w:val="755A7F2B"/>
    <w:rsid w:val="75C173E7"/>
    <w:rsid w:val="75F63195"/>
    <w:rsid w:val="760B0BAF"/>
    <w:rsid w:val="76A77C9C"/>
    <w:rsid w:val="76D4578A"/>
    <w:rsid w:val="770574A0"/>
    <w:rsid w:val="77455BC1"/>
    <w:rsid w:val="77B96B73"/>
    <w:rsid w:val="77BD31CC"/>
    <w:rsid w:val="77C82567"/>
    <w:rsid w:val="77DF0639"/>
    <w:rsid w:val="77FE8FAC"/>
    <w:rsid w:val="78241FCC"/>
    <w:rsid w:val="787E122A"/>
    <w:rsid w:val="78815B60"/>
    <w:rsid w:val="78B56081"/>
    <w:rsid w:val="79E70B47"/>
    <w:rsid w:val="7A134250"/>
    <w:rsid w:val="7A4D29BF"/>
    <w:rsid w:val="7A5E4DBC"/>
    <w:rsid w:val="7B287F25"/>
    <w:rsid w:val="7B8739E8"/>
    <w:rsid w:val="7C3E25F6"/>
    <w:rsid w:val="7C4F638F"/>
    <w:rsid w:val="7D123060"/>
    <w:rsid w:val="7DF7741D"/>
    <w:rsid w:val="7DFF9BBF"/>
    <w:rsid w:val="7E2350C7"/>
    <w:rsid w:val="7E6C59D9"/>
    <w:rsid w:val="7EBB5053"/>
    <w:rsid w:val="7FBB508F"/>
    <w:rsid w:val="7FD231E4"/>
    <w:rsid w:val="AB8FC51D"/>
    <w:rsid w:val="B7FC8A41"/>
    <w:rsid w:val="DFF779CE"/>
    <w:rsid w:val="E7C1DF74"/>
    <w:rsid w:val="F3FD98E3"/>
    <w:rsid w:val="F7F540C0"/>
    <w:rsid w:val="FDFF0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Emphasis"/>
    <w:basedOn w:val="8"/>
    <w:qFormat/>
    <w:uiPriority w:val="0"/>
    <w:rPr>
      <w:i/>
    </w:rPr>
  </w:style>
  <w:style w:type="paragraph" w:customStyle="1" w:styleId="11">
    <w:name w:val="样式 样式 样式 四号 左侧:  1.53 厘米 + 首行缩进:  2 字符 + 居中 左侧:  2 字符 首行缩进:  2..."/>
    <w:basedOn w:val="12"/>
    <w:qFormat/>
    <w:uiPriority w:val="0"/>
    <w:pPr>
      <w:snapToGrid w:val="0"/>
      <w:spacing w:line="500" w:lineRule="exact"/>
      <w:jc w:val="center"/>
    </w:pPr>
    <w:rPr>
      <w:rFonts w:ascii="Times New Roman" w:hAnsi="Times New Roman"/>
    </w:rPr>
  </w:style>
  <w:style w:type="paragraph" w:customStyle="1" w:styleId="12">
    <w:name w:val="样式 样式 四号 左侧:  1.53 厘米 + 首行缩进:  2 字符"/>
    <w:basedOn w:val="13"/>
    <w:qFormat/>
    <w:uiPriority w:val="0"/>
    <w:pPr>
      <w:ind w:left="200" w:leftChars="200"/>
    </w:pPr>
    <w:rPr>
      <w:szCs w:val="20"/>
    </w:rPr>
  </w:style>
  <w:style w:type="paragraph" w:customStyle="1" w:styleId="13">
    <w:name w:val="样式 四号 左侧:  1.53 厘米"/>
    <w:basedOn w:val="1"/>
    <w:qFormat/>
    <w:uiPriority w:val="0"/>
    <w:pPr>
      <w:adjustRightInd w:val="0"/>
    </w:pPr>
    <w:rPr>
      <w:rFonts w:ascii="华康简仿宋" w:hAnsi="华康简仿宋" w:eastAsia="华文中宋" w:cs="华康简仿宋"/>
      <w:w w:val="90"/>
      <w:sz w:val="28"/>
      <w:szCs w:val="28"/>
    </w:rPr>
  </w:style>
  <w:style w:type="character" w:customStyle="1" w:styleId="14">
    <w:name w:val="页脚 Char"/>
    <w:basedOn w:val="8"/>
    <w:link w:val="5"/>
    <w:qFormat/>
    <w:uiPriority w:val="0"/>
    <w:rPr>
      <w:kern w:val="2"/>
      <w:sz w:val="18"/>
      <w:szCs w:val="18"/>
    </w:rPr>
  </w:style>
  <w:style w:type="character" w:customStyle="1" w:styleId="15">
    <w:name w:val="页眉 Char"/>
    <w:basedOn w:val="8"/>
    <w:link w:val="6"/>
    <w:qFormat/>
    <w:uiPriority w:val="0"/>
    <w:rPr>
      <w:kern w:val="2"/>
      <w:sz w:val="18"/>
      <w:szCs w:val="18"/>
    </w:rPr>
  </w:style>
  <w:style w:type="paragraph" w:customStyle="1" w:styleId="16">
    <w:name w:val="中文报告书样式"/>
    <w:basedOn w:val="1"/>
    <w:qFormat/>
    <w:uiPriority w:val="0"/>
    <w:pPr>
      <w:adjustRightInd w:val="0"/>
      <w:spacing w:line="420" w:lineRule="atLeast"/>
      <w:jc w:val="left"/>
      <w:textAlignment w:val="baseline"/>
    </w:pPr>
    <w:rPr>
      <w:kern w:val="24"/>
      <w:sz w:val="24"/>
      <w:szCs w:val="20"/>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1443</Words>
  <Characters>1617</Characters>
  <Lines>1</Lines>
  <Paragraphs>1</Paragraphs>
  <TotalTime>85</TotalTime>
  <ScaleCrop>false</ScaleCrop>
  <LinksUpToDate>false</LinksUpToDate>
  <CharactersWithSpaces>1690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2014-05-24T01:22:00Z</dcterms:created>
  <dc:creator>张明蕾</dc:creator>
  <cp:lastModifiedBy>dell</cp:lastModifiedBy>
  <cp:lastPrinted>2025-11-19T06:50:00Z</cp:lastPrinted>
  <dcterms:modified xsi:type="dcterms:W3CDTF">2025-11-21T05:32:28Z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E4A23EF7D5944508B53E4B50E7BF1DA6_13</vt:lpwstr>
  </property>
  <property fmtid="{D5CDD505-2E9C-101B-9397-08002B2CF9AE}" pid="4" name="KSOTemplateDocerSaveRecord">
    <vt:lpwstr>eyJoZGlkIjoiOWJkM2M4Y2MxZmFmYTQ2ZGY2MDRlNzFmY2M2NjJkZTEiLCJ1c2VySWQiOiIyODk1NTIxMzIifQ==</vt:lpwstr>
  </property>
</Properties>
</file>