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1A7F" w:rsidRDefault="00641A7F">
      <w:pPr>
        <w:spacing w:line="580" w:lineRule="exact"/>
        <w:rPr>
          <w:rFonts w:ascii="仿宋_GB2312" w:eastAsia="仿宋_GB2312" w:hAnsi="华文中宋"/>
          <w:sz w:val="32"/>
          <w:szCs w:val="32"/>
        </w:rPr>
      </w:pPr>
    </w:p>
    <w:p w:rsidR="00641A7F" w:rsidRDefault="00DF52E6">
      <w:pPr>
        <w:spacing w:line="580" w:lineRule="exact"/>
        <w:jc w:val="center"/>
        <w:rPr>
          <w:rFonts w:ascii="方正小标宋简体" w:eastAsia="方正小标宋简体"/>
          <w:spacing w:val="20"/>
          <w:sz w:val="44"/>
          <w:szCs w:val="44"/>
        </w:rPr>
      </w:pPr>
      <w:r>
        <w:rPr>
          <w:rFonts w:ascii="方正小标宋简体" w:eastAsia="方正小标宋简体" w:hint="eastAsia"/>
          <w:spacing w:val="20"/>
          <w:sz w:val="44"/>
          <w:szCs w:val="44"/>
        </w:rPr>
        <w:t>区政务服务办区发展改革委区农业农村委</w:t>
      </w:r>
    </w:p>
    <w:p w:rsidR="00641A7F" w:rsidRDefault="00DF52E6">
      <w:pPr>
        <w:spacing w:line="580" w:lineRule="exact"/>
        <w:jc w:val="center"/>
        <w:rPr>
          <w:rFonts w:ascii="方正小标宋简体" w:eastAsia="方正小标宋简体"/>
          <w:spacing w:val="-11"/>
          <w:sz w:val="44"/>
          <w:szCs w:val="44"/>
        </w:rPr>
      </w:pPr>
      <w:r>
        <w:rPr>
          <w:rFonts w:ascii="方正小标宋简体" w:eastAsia="方正小标宋简体" w:hint="eastAsia"/>
          <w:spacing w:val="-11"/>
          <w:sz w:val="44"/>
          <w:szCs w:val="44"/>
        </w:rPr>
        <w:t>市规划资源局滨海分局关于印发滨海新区村庄</w:t>
      </w:r>
    </w:p>
    <w:p w:rsidR="00641A7F" w:rsidRDefault="00DF52E6">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建设项目施行简易审批实施方案的通知</w:t>
      </w:r>
    </w:p>
    <w:p w:rsidR="00641A7F" w:rsidRDefault="00641A7F">
      <w:pPr>
        <w:spacing w:line="600" w:lineRule="exact"/>
        <w:jc w:val="center"/>
        <w:rPr>
          <w:rFonts w:ascii="方正小标宋简体" w:eastAsia="方正小标宋简体"/>
          <w:sz w:val="44"/>
          <w:szCs w:val="44"/>
        </w:rPr>
      </w:pPr>
    </w:p>
    <w:p w:rsidR="00641A7F" w:rsidRDefault="00DF52E6">
      <w:pPr>
        <w:spacing w:line="580" w:lineRule="exact"/>
        <w:jc w:val="left"/>
        <w:rPr>
          <w:rFonts w:eastAsia="仿宋_GB2312"/>
          <w:sz w:val="32"/>
          <w:szCs w:val="32"/>
        </w:rPr>
      </w:pPr>
      <w:r>
        <w:rPr>
          <w:rFonts w:eastAsia="仿宋_GB2312" w:hint="eastAsia"/>
          <w:sz w:val="32"/>
          <w:szCs w:val="32"/>
        </w:rPr>
        <w:t>各委办局、各涉农街镇：</w:t>
      </w:r>
    </w:p>
    <w:p w:rsidR="00641A7F" w:rsidRDefault="00DF52E6">
      <w:pPr>
        <w:spacing w:line="580" w:lineRule="exact"/>
        <w:ind w:firstLineChars="200" w:firstLine="640"/>
        <w:jc w:val="left"/>
        <w:rPr>
          <w:rFonts w:eastAsia="仿宋_GB2312"/>
          <w:sz w:val="32"/>
          <w:szCs w:val="32"/>
        </w:rPr>
      </w:pPr>
      <w:r>
        <w:rPr>
          <w:rFonts w:eastAsia="仿宋_GB2312" w:hint="eastAsia"/>
          <w:sz w:val="32"/>
          <w:szCs w:val="32"/>
        </w:rPr>
        <w:t>现将《滨海新区村庄建设项目施行简易审批实施方案》印发给你们，请遵照执行。</w:t>
      </w:r>
    </w:p>
    <w:p w:rsidR="00641A7F" w:rsidRDefault="00641A7F">
      <w:pPr>
        <w:spacing w:line="580" w:lineRule="exact"/>
        <w:jc w:val="left"/>
        <w:rPr>
          <w:rFonts w:eastAsia="仿宋_GB2312"/>
          <w:sz w:val="32"/>
          <w:szCs w:val="32"/>
        </w:rPr>
      </w:pPr>
    </w:p>
    <w:p w:rsidR="00641A7F" w:rsidRDefault="00641A7F">
      <w:pPr>
        <w:spacing w:line="580" w:lineRule="exact"/>
        <w:jc w:val="left"/>
        <w:rPr>
          <w:rFonts w:eastAsia="仿宋_GB2312"/>
          <w:sz w:val="32"/>
          <w:szCs w:val="32"/>
        </w:rPr>
      </w:pPr>
    </w:p>
    <w:p w:rsidR="00641A7F" w:rsidRDefault="00641A7F">
      <w:pPr>
        <w:spacing w:line="580" w:lineRule="exact"/>
        <w:jc w:val="left"/>
        <w:rPr>
          <w:rFonts w:eastAsia="仿宋_GB2312"/>
          <w:sz w:val="32"/>
          <w:szCs w:val="32"/>
        </w:rPr>
      </w:pPr>
    </w:p>
    <w:p w:rsidR="00641A7F" w:rsidRDefault="00DF52E6">
      <w:pPr>
        <w:spacing w:line="58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区政务服务办</w:t>
      </w:r>
      <w:r>
        <w:rPr>
          <w:rFonts w:eastAsia="仿宋_GB2312" w:hint="eastAsia"/>
          <w:sz w:val="32"/>
          <w:szCs w:val="32"/>
        </w:rPr>
        <w:t xml:space="preserve">                  </w:t>
      </w:r>
      <w:r>
        <w:rPr>
          <w:rFonts w:eastAsia="仿宋_GB2312" w:hint="eastAsia"/>
          <w:sz w:val="32"/>
          <w:szCs w:val="32"/>
        </w:rPr>
        <w:t>区发展改革委</w:t>
      </w:r>
    </w:p>
    <w:p w:rsidR="00641A7F" w:rsidRDefault="00641A7F">
      <w:pPr>
        <w:spacing w:line="600" w:lineRule="exact"/>
        <w:rPr>
          <w:rFonts w:eastAsia="仿宋_GB2312"/>
          <w:sz w:val="32"/>
          <w:szCs w:val="32"/>
        </w:rPr>
      </w:pPr>
    </w:p>
    <w:p w:rsidR="00641A7F" w:rsidRDefault="00641A7F">
      <w:pPr>
        <w:spacing w:line="600" w:lineRule="exact"/>
        <w:rPr>
          <w:rFonts w:eastAsia="仿宋_GB2312"/>
          <w:sz w:val="32"/>
          <w:szCs w:val="32"/>
        </w:rPr>
      </w:pPr>
    </w:p>
    <w:p w:rsidR="00641A7F" w:rsidRDefault="00641A7F">
      <w:pPr>
        <w:spacing w:line="600" w:lineRule="exact"/>
        <w:rPr>
          <w:rFonts w:eastAsia="仿宋_GB2312"/>
          <w:sz w:val="32"/>
          <w:szCs w:val="32"/>
        </w:rPr>
      </w:pPr>
    </w:p>
    <w:p w:rsidR="00641A7F" w:rsidRDefault="00DF52E6">
      <w:pPr>
        <w:spacing w:line="600" w:lineRule="exact"/>
        <w:jc w:val="center"/>
        <w:rPr>
          <w:rFonts w:eastAsia="仿宋_GB2312"/>
          <w:sz w:val="32"/>
          <w:szCs w:val="32"/>
        </w:rPr>
      </w:pPr>
      <w:r>
        <w:rPr>
          <w:rFonts w:eastAsia="仿宋_GB2312" w:hint="eastAsia"/>
          <w:sz w:val="32"/>
          <w:szCs w:val="32"/>
        </w:rPr>
        <w:t>区农业农村委</w:t>
      </w:r>
      <w:r>
        <w:rPr>
          <w:rFonts w:eastAsia="仿宋_GB2312" w:hint="eastAsia"/>
          <w:sz w:val="32"/>
          <w:szCs w:val="32"/>
        </w:rPr>
        <w:t xml:space="preserve">             </w:t>
      </w:r>
      <w:r>
        <w:rPr>
          <w:rFonts w:eastAsia="仿宋_GB2312" w:hint="eastAsia"/>
          <w:sz w:val="32"/>
          <w:szCs w:val="32"/>
        </w:rPr>
        <w:t>市规划资源局滨海分局</w:t>
      </w:r>
    </w:p>
    <w:p w:rsidR="00641A7F" w:rsidRDefault="00641A7F">
      <w:pPr>
        <w:spacing w:line="600" w:lineRule="exact"/>
        <w:ind w:firstLineChars="1045" w:firstLine="3344"/>
        <w:jc w:val="left"/>
        <w:rPr>
          <w:rFonts w:eastAsia="仿宋_GB2312"/>
          <w:sz w:val="32"/>
          <w:szCs w:val="32"/>
        </w:rPr>
      </w:pPr>
    </w:p>
    <w:p w:rsidR="00641A7F" w:rsidRDefault="00DF52E6">
      <w:pPr>
        <w:spacing w:line="600" w:lineRule="exact"/>
        <w:ind w:rightChars="800" w:right="1680" w:firstLineChars="1350" w:firstLine="4320"/>
        <w:rPr>
          <w:rFonts w:eastAsia="仿宋_GB2312"/>
          <w:sz w:val="32"/>
          <w:szCs w:val="32"/>
        </w:rPr>
      </w:pPr>
      <w:r>
        <w:rPr>
          <w:rFonts w:eastAsia="仿宋_GB2312" w:hint="eastAsia"/>
          <w:sz w:val="32"/>
          <w:szCs w:val="32"/>
        </w:rPr>
        <w:t>2021</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4</w:t>
      </w:r>
      <w:r>
        <w:rPr>
          <w:rFonts w:eastAsia="仿宋_GB2312" w:hint="eastAsia"/>
          <w:sz w:val="32"/>
          <w:szCs w:val="32"/>
        </w:rPr>
        <w:t>日</w:t>
      </w:r>
    </w:p>
    <w:p w:rsidR="00641A7F" w:rsidRDefault="00DF52E6">
      <w:pPr>
        <w:spacing w:line="600" w:lineRule="exact"/>
        <w:jc w:val="left"/>
        <w:rPr>
          <w:rFonts w:eastAsia="仿宋_GB2312"/>
          <w:sz w:val="32"/>
          <w:szCs w:val="32"/>
        </w:rPr>
      </w:pPr>
      <w:r>
        <w:rPr>
          <w:rFonts w:eastAsia="仿宋_GB2312" w:hint="eastAsia"/>
          <w:sz w:val="32"/>
          <w:szCs w:val="32"/>
        </w:rPr>
        <w:t xml:space="preserve">    </w:t>
      </w:r>
      <w:r>
        <w:rPr>
          <w:rFonts w:eastAsia="仿宋_GB2312" w:hint="eastAsia"/>
          <w:sz w:val="32"/>
          <w:szCs w:val="32"/>
        </w:rPr>
        <w:t>（此件主动公开）</w:t>
      </w: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jc w:val="center"/>
        <w:rPr>
          <w:rFonts w:ascii="方正小标宋简体" w:eastAsia="方正小标宋简体"/>
          <w:sz w:val="44"/>
          <w:szCs w:val="44"/>
        </w:rPr>
      </w:pPr>
    </w:p>
    <w:p w:rsidR="00641A7F" w:rsidRDefault="00641A7F">
      <w:pPr>
        <w:spacing w:line="660" w:lineRule="exact"/>
        <w:rPr>
          <w:rFonts w:ascii="方正小标宋简体" w:eastAsia="方正小标宋简体"/>
          <w:sz w:val="44"/>
          <w:szCs w:val="44"/>
        </w:rPr>
      </w:pPr>
    </w:p>
    <w:p w:rsidR="00641A7F" w:rsidRDefault="00641A7F">
      <w:pPr>
        <w:spacing w:line="660" w:lineRule="exact"/>
        <w:rPr>
          <w:rFonts w:ascii="方正小标宋简体" w:eastAsia="方正小标宋简体"/>
          <w:sz w:val="44"/>
          <w:szCs w:val="44"/>
        </w:rPr>
      </w:pPr>
    </w:p>
    <w:p w:rsidR="00641A7F" w:rsidRDefault="00DF52E6">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滨海新区村庄建设项目施行简易</w:t>
      </w:r>
    </w:p>
    <w:p w:rsidR="00641A7F" w:rsidRDefault="00DF52E6">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审批实施方案</w:t>
      </w:r>
    </w:p>
    <w:p w:rsidR="00641A7F" w:rsidRDefault="00641A7F">
      <w:pPr>
        <w:spacing w:line="660" w:lineRule="exact"/>
        <w:jc w:val="center"/>
        <w:rPr>
          <w:rFonts w:ascii="方正小标宋简体" w:eastAsia="方正小标宋简体"/>
          <w:sz w:val="44"/>
          <w:szCs w:val="44"/>
        </w:rPr>
      </w:pPr>
    </w:p>
    <w:p w:rsidR="00641A7F" w:rsidRDefault="00DF52E6">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为贯彻落实国家发展改革委、自然资源部、农业农村部联合印发的《关于村庄建设项目施行简易审批的指导意见》（发改农经〔</w:t>
      </w:r>
      <w:r>
        <w:rPr>
          <w:rFonts w:eastAsia="仿宋_GB2312"/>
          <w:sz w:val="32"/>
          <w:szCs w:val="32"/>
        </w:rPr>
        <w:t>2020</w:t>
      </w:r>
      <w:r>
        <w:rPr>
          <w:rFonts w:ascii="仿宋_GB2312" w:eastAsia="仿宋_GB2312" w:hint="eastAsia"/>
          <w:sz w:val="32"/>
          <w:szCs w:val="32"/>
        </w:rPr>
        <w:t>〕</w:t>
      </w:r>
      <w:r>
        <w:rPr>
          <w:rFonts w:eastAsia="仿宋_GB2312"/>
          <w:sz w:val="32"/>
          <w:szCs w:val="32"/>
        </w:rPr>
        <w:t>1337</w:t>
      </w:r>
      <w:r>
        <w:rPr>
          <w:rFonts w:ascii="仿宋_GB2312" w:eastAsia="仿宋_GB2312" w:hint="eastAsia"/>
          <w:sz w:val="32"/>
          <w:szCs w:val="32"/>
        </w:rPr>
        <w:t>号）文件精神，对按照固定资产投资管理的小型村庄建设项目施行简易审批，优化审批程序、简化报批内容、创新审批方式，有效推动滨海新区生态宜居美丽乡村建设，结合滨海新区实际，制定本方案。</w:t>
      </w:r>
    </w:p>
    <w:p w:rsidR="00641A7F" w:rsidRDefault="00DF52E6">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lastRenderedPageBreak/>
        <w:t>一、基本原则</w:t>
      </w:r>
    </w:p>
    <w:p w:rsidR="00641A7F" w:rsidRDefault="00DF52E6">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以《政府投资条例》、《天津市政府投资管理条例》及其实施细则、《滨海新区政府投资管理办法》、</w:t>
      </w:r>
      <w:r w:rsidR="00D302F4" w:rsidRPr="00D302F4">
        <w:rPr>
          <w:rFonts w:ascii="仿宋_GB2312" w:eastAsia="仿宋_GB2312" w:hint="eastAsia"/>
          <w:sz w:val="32"/>
          <w:szCs w:val="32"/>
        </w:rPr>
        <w:t>《中华人民共和国招标投标法》及其实施条例</w:t>
      </w:r>
      <w:r>
        <w:rPr>
          <w:rFonts w:ascii="仿宋_GB2312" w:eastAsia="仿宋_GB2312" w:hint="eastAsia"/>
          <w:sz w:val="32"/>
          <w:szCs w:val="32"/>
        </w:rPr>
        <w:t>、《必须招标的工程项目规定》等文件为审批依据，以坚持规划引领、统筹谋划，守好耕地和生态保护红线为原则，通过滨海新区各相关部门之间信息联通和业务协作，构建务实管用、便捷高效的新型审批服务体系。</w:t>
      </w:r>
    </w:p>
    <w:p w:rsidR="00641A7F" w:rsidRDefault="00DF52E6">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t>二、适用范围</w:t>
      </w:r>
    </w:p>
    <w:p w:rsidR="00641A7F" w:rsidRDefault="00DF52E6">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适用于新区范围内，符合国土空间规划、村庄规划，按照固定资产投资管理的小型村庄建设项目，包括单个项目和打捆项目。</w:t>
      </w:r>
    </w:p>
    <w:p w:rsidR="00641A7F" w:rsidRDefault="00DF52E6">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（一）单个项目指建筑面积不大于</w:t>
      </w:r>
      <w:r>
        <w:rPr>
          <w:rFonts w:eastAsia="仿宋_GB2312"/>
          <w:sz w:val="32"/>
          <w:szCs w:val="32"/>
        </w:rPr>
        <w:t>500</w:t>
      </w:r>
      <w:r>
        <w:rPr>
          <w:rFonts w:ascii="仿宋_GB2312" w:eastAsia="仿宋_GB2312" w:hint="eastAsia"/>
          <w:sz w:val="32"/>
          <w:szCs w:val="32"/>
        </w:rPr>
        <w:t>平方米的文化体育类设施、农村社区服务类设施，建筑面积不超过</w:t>
      </w:r>
      <w:r>
        <w:rPr>
          <w:rFonts w:eastAsia="仿宋_GB2312"/>
          <w:sz w:val="32"/>
          <w:szCs w:val="32"/>
        </w:rPr>
        <w:t>100</w:t>
      </w:r>
      <w:r>
        <w:rPr>
          <w:rFonts w:ascii="仿宋_GB2312" w:eastAsia="仿宋_GB2312" w:hint="eastAsia"/>
          <w:sz w:val="32"/>
          <w:szCs w:val="32"/>
        </w:rPr>
        <w:t>平方米的农村生活垃圾污水处理设施、厕所及粪污处理设施、排水设施、村内道路等农村人居环境整治类设施，建筑面积不超过</w:t>
      </w:r>
      <w:r>
        <w:rPr>
          <w:rFonts w:eastAsia="仿宋_GB2312"/>
          <w:sz w:val="32"/>
          <w:szCs w:val="32"/>
        </w:rPr>
        <w:t>200</w:t>
      </w:r>
      <w:r>
        <w:rPr>
          <w:rFonts w:ascii="仿宋_GB2312" w:eastAsia="仿宋_GB2312" w:hint="eastAsia"/>
          <w:sz w:val="32"/>
          <w:szCs w:val="32"/>
        </w:rPr>
        <w:t>平方米的产地初加工等农村产业融合发展类设施；</w:t>
      </w:r>
    </w:p>
    <w:p w:rsidR="00641A7F" w:rsidRDefault="00DF52E6">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（二）打捆项目指对涉及多个村庄的文化体育设施、农村社区服务类设施、农村人居环境整治类设施和农村产业融合发展类设施按镇进行打捆合并为单个项目，打捆后的项目总投资不超过</w:t>
      </w:r>
      <w:r>
        <w:rPr>
          <w:rFonts w:eastAsia="仿宋_GB2312"/>
          <w:sz w:val="32"/>
          <w:szCs w:val="32"/>
        </w:rPr>
        <w:t>1</w:t>
      </w:r>
      <w:r>
        <w:rPr>
          <w:rFonts w:ascii="仿宋_GB2312" w:eastAsia="仿宋_GB2312" w:hint="eastAsia"/>
          <w:sz w:val="32"/>
          <w:szCs w:val="32"/>
        </w:rPr>
        <w:t>亿元；</w:t>
      </w:r>
    </w:p>
    <w:p w:rsidR="00641A7F" w:rsidRDefault="00DF52E6">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（三）技术方案相对复杂的工程，关系人民群众生命财产安全的房屋修造类、能源类、教育类等项目，不适用本方案。</w:t>
      </w:r>
    </w:p>
    <w:p w:rsidR="00641A7F" w:rsidRDefault="00DF52E6">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t>三、审批工作</w:t>
      </w:r>
    </w:p>
    <w:p w:rsidR="00641A7F" w:rsidRDefault="00DF52E6">
      <w:pPr>
        <w:spacing w:line="360" w:lineRule="auto"/>
        <w:ind w:firstLineChars="200" w:firstLine="640"/>
        <w:jc w:val="left"/>
        <w:rPr>
          <w:rFonts w:ascii="仿宋_GB2312" w:eastAsia="仿宋_GB2312" w:hAnsi="黑体"/>
          <w:sz w:val="32"/>
          <w:szCs w:val="32"/>
        </w:rPr>
      </w:pPr>
      <w:r>
        <w:rPr>
          <w:rFonts w:ascii="楷体_GB2312" w:eastAsia="楷体_GB2312" w:hAnsi="黑体" w:hint="eastAsia"/>
          <w:sz w:val="32"/>
          <w:szCs w:val="32"/>
        </w:rPr>
        <w:lastRenderedPageBreak/>
        <w:t>（一）区分审批范围。</w:t>
      </w:r>
      <w:r>
        <w:rPr>
          <w:rFonts w:ascii="仿宋_GB2312" w:eastAsia="仿宋_GB2312" w:hAnsi="黑体" w:hint="eastAsia"/>
          <w:bCs/>
          <w:sz w:val="32"/>
          <w:szCs w:val="32"/>
        </w:rPr>
        <w:t>一是</w:t>
      </w:r>
      <w:r>
        <w:rPr>
          <w:rFonts w:ascii="仿宋_GB2312" w:eastAsia="仿宋_GB2312" w:hAnsi="黑体" w:hint="eastAsia"/>
          <w:sz w:val="32"/>
          <w:szCs w:val="32"/>
        </w:rPr>
        <w:t>对于建设规模较小、技术方案简单的单个项目，委托下放给具备条件的涉农街镇，施行简易审批；</w:t>
      </w:r>
      <w:r>
        <w:rPr>
          <w:rFonts w:ascii="仿宋_GB2312" w:eastAsia="仿宋_GB2312" w:hAnsi="黑体" w:hint="eastAsia"/>
          <w:bCs/>
          <w:sz w:val="32"/>
          <w:szCs w:val="32"/>
        </w:rPr>
        <w:t>二是</w:t>
      </w:r>
      <w:r>
        <w:rPr>
          <w:rFonts w:ascii="仿宋_GB2312" w:eastAsia="仿宋_GB2312" w:hAnsi="黑体" w:hint="eastAsia"/>
          <w:sz w:val="32"/>
          <w:szCs w:val="32"/>
        </w:rPr>
        <w:t>对于打捆的、且总投资不超过</w:t>
      </w:r>
      <w:r>
        <w:rPr>
          <w:rFonts w:eastAsia="仿宋_GB2312"/>
          <w:sz w:val="32"/>
          <w:szCs w:val="32"/>
        </w:rPr>
        <w:t>1</w:t>
      </w:r>
      <w:r>
        <w:rPr>
          <w:rFonts w:ascii="仿宋_GB2312" w:eastAsia="仿宋_GB2312" w:hAnsi="黑体" w:hint="eastAsia"/>
          <w:sz w:val="32"/>
          <w:szCs w:val="32"/>
        </w:rPr>
        <w:t>亿元的村庄建设项目，由区审批局施行简易审批。</w:t>
      </w:r>
    </w:p>
    <w:p w:rsidR="00641A7F" w:rsidRDefault="00DF52E6">
      <w:pPr>
        <w:spacing w:line="360" w:lineRule="auto"/>
        <w:ind w:firstLineChars="200" w:firstLine="640"/>
        <w:rPr>
          <w:rFonts w:ascii="仿宋_GB2312" w:eastAsia="仿宋_GB2312" w:hAnsi="黑体"/>
          <w:sz w:val="32"/>
          <w:szCs w:val="32"/>
        </w:rPr>
      </w:pPr>
      <w:r>
        <w:rPr>
          <w:rFonts w:ascii="楷体_GB2312" w:eastAsia="楷体_GB2312" w:hAnsi="黑体" w:hint="eastAsia"/>
          <w:sz w:val="32"/>
          <w:szCs w:val="32"/>
        </w:rPr>
        <w:t>（二）创新审批方式。</w:t>
      </w:r>
      <w:r>
        <w:rPr>
          <w:rFonts w:ascii="仿宋_GB2312" w:eastAsia="仿宋_GB2312" w:hAnsi="黑体" w:hint="eastAsia"/>
          <w:bCs/>
          <w:sz w:val="32"/>
          <w:szCs w:val="32"/>
        </w:rPr>
        <w:t>一是</w:t>
      </w:r>
      <w:r>
        <w:rPr>
          <w:rFonts w:ascii="仿宋_GB2312" w:eastAsia="仿宋_GB2312" w:hAnsi="黑体" w:hint="eastAsia"/>
          <w:sz w:val="32"/>
          <w:szCs w:val="32"/>
        </w:rPr>
        <w:t>采取审批可行性研究报告的方式，合并办理项目建议书、可行性研究报告、初步设计等审批环节，可行性研究报告中应包含项目建设必要性、初步设计方案和投资概算等内容。通过审批可行性研究报告，合并办理项目建议书等审批环节的项目，由项目审批部门出具前期工作函，项目单位可凭前期工作函向市规划资源局滨海分局申请办理土地和规划意见；</w:t>
      </w:r>
      <w:r>
        <w:rPr>
          <w:rFonts w:ascii="仿宋_GB2312" w:eastAsia="仿宋_GB2312" w:hAnsi="黑体" w:hint="eastAsia"/>
          <w:bCs/>
          <w:sz w:val="32"/>
          <w:szCs w:val="32"/>
        </w:rPr>
        <w:t>二是</w:t>
      </w:r>
      <w:r>
        <w:rPr>
          <w:rFonts w:ascii="仿宋_GB2312" w:eastAsia="仿宋_GB2312" w:hAnsi="黑体" w:hint="eastAsia"/>
          <w:sz w:val="32"/>
          <w:szCs w:val="32"/>
        </w:rPr>
        <w:t>审批可行性研究报告应依据市规划资源局滨海分局出具的土地和规划意见。使用集体建设用地开展建设的，项目单位无需办理建设项目用地预审与选址意见书；</w:t>
      </w:r>
      <w:r>
        <w:rPr>
          <w:rFonts w:ascii="仿宋_GB2312" w:eastAsia="仿宋_GB2312" w:hAnsi="黑体" w:hint="eastAsia"/>
          <w:bCs/>
          <w:sz w:val="32"/>
          <w:szCs w:val="32"/>
        </w:rPr>
        <w:t>三是</w:t>
      </w:r>
      <w:r>
        <w:rPr>
          <w:rFonts w:ascii="仿宋_GB2312" w:eastAsia="仿宋_GB2312" w:hAnsi="黑体" w:hint="eastAsia"/>
          <w:sz w:val="32"/>
          <w:szCs w:val="32"/>
        </w:rPr>
        <w:t>经批准的可行性研究报告，作为资金申请、项目招标采购、建设实施和竣工验收的依据。其中资金申请报告中应列明项目基本情况、前期工作完成情况、申请资金的政策依据等，可行性研究报告批复完成后，方可履行资金申请审批程序；</w:t>
      </w:r>
      <w:r>
        <w:rPr>
          <w:rFonts w:ascii="仿宋_GB2312" w:eastAsia="仿宋_GB2312" w:hAnsi="黑体" w:hint="eastAsia"/>
          <w:bCs/>
          <w:sz w:val="32"/>
          <w:szCs w:val="32"/>
        </w:rPr>
        <w:t>四是</w:t>
      </w:r>
      <w:r>
        <w:rPr>
          <w:rFonts w:ascii="仿宋_GB2312" w:eastAsia="仿宋_GB2312" w:hAnsi="黑体" w:hint="eastAsia"/>
          <w:sz w:val="32"/>
          <w:szCs w:val="32"/>
        </w:rPr>
        <w:t>对于打捆项目，市规划资源局滨海分局合并出具土地和规划意见；</w:t>
      </w:r>
      <w:r>
        <w:rPr>
          <w:rFonts w:ascii="仿宋_GB2312" w:eastAsia="仿宋_GB2312" w:hAnsi="黑体" w:hint="eastAsia"/>
          <w:bCs/>
          <w:sz w:val="32"/>
          <w:szCs w:val="32"/>
        </w:rPr>
        <w:t>五是</w:t>
      </w:r>
      <w:r>
        <w:rPr>
          <w:rFonts w:ascii="仿宋_GB2312" w:eastAsia="仿宋_GB2312" w:hAnsi="黑体" w:hint="eastAsia"/>
          <w:sz w:val="32"/>
          <w:szCs w:val="32"/>
        </w:rPr>
        <w:t xml:space="preserve">对于建设规模较小、技术方案简单、建设内容单一的小型村庄建设项目，审批部门可根据项目实际情况自行决定可行性研究报告的评审形式。 </w:t>
      </w:r>
    </w:p>
    <w:p w:rsidR="00641A7F" w:rsidRDefault="00DF52E6">
      <w:pPr>
        <w:spacing w:line="360" w:lineRule="auto"/>
        <w:ind w:firstLineChars="200" w:firstLine="640"/>
        <w:jc w:val="left"/>
        <w:rPr>
          <w:rFonts w:ascii="仿宋_GB2312" w:eastAsia="仿宋_GB2312" w:hAnsi="黑体"/>
          <w:sz w:val="32"/>
          <w:szCs w:val="32"/>
        </w:rPr>
      </w:pPr>
      <w:r>
        <w:rPr>
          <w:rFonts w:ascii="楷体_GB2312" w:eastAsia="楷体_GB2312" w:hAnsi="黑体" w:hint="eastAsia"/>
          <w:sz w:val="32"/>
          <w:szCs w:val="32"/>
        </w:rPr>
        <w:t>（三）明确审批内容。</w:t>
      </w:r>
      <w:r>
        <w:rPr>
          <w:rFonts w:ascii="仿宋_GB2312" w:eastAsia="仿宋_GB2312" w:hAnsi="黑体" w:hint="eastAsia"/>
          <w:bCs/>
          <w:sz w:val="32"/>
          <w:szCs w:val="32"/>
        </w:rPr>
        <w:t>一是</w:t>
      </w:r>
      <w:r>
        <w:rPr>
          <w:rFonts w:ascii="仿宋_GB2312" w:eastAsia="仿宋_GB2312" w:hAnsi="黑体" w:hint="eastAsia"/>
          <w:sz w:val="32"/>
          <w:szCs w:val="32"/>
        </w:rPr>
        <w:t>要在加强论证、确保建设质量的前提下，区分适用范围，做好前期工作；</w:t>
      </w:r>
      <w:r>
        <w:rPr>
          <w:rFonts w:ascii="仿宋_GB2312" w:eastAsia="仿宋_GB2312" w:hAnsi="黑体" w:hint="eastAsia"/>
          <w:bCs/>
          <w:sz w:val="32"/>
          <w:szCs w:val="32"/>
        </w:rPr>
        <w:t>二是</w:t>
      </w:r>
      <w:r>
        <w:rPr>
          <w:rFonts w:ascii="仿宋_GB2312" w:eastAsia="仿宋_GB2312" w:hAnsi="黑体" w:hint="eastAsia"/>
          <w:sz w:val="32"/>
          <w:szCs w:val="32"/>
        </w:rPr>
        <w:t>对于单个项目，项</w:t>
      </w:r>
      <w:r>
        <w:rPr>
          <w:rFonts w:ascii="仿宋_GB2312" w:eastAsia="仿宋_GB2312" w:hAnsi="黑体" w:hint="eastAsia"/>
          <w:sz w:val="32"/>
          <w:szCs w:val="32"/>
        </w:rPr>
        <w:lastRenderedPageBreak/>
        <w:t>目单位可按照可行性研究报告申报范本进行自行编制。可行性研究报告一般应包括建设项目名称、建设内容及规模、建设性质、建设地址、建设工期、布置图，投资规模、资金来源与落实情况，覆盖村组范围及服务人口、管护方式、村民会议或者村民代表会议、村民小组会议决议意见等。村庄建设项目需要满足行业规范设计等要求，对于建筑工程，还应符合《建筑工程设计文件编制深度规定》要求；</w:t>
      </w:r>
      <w:r>
        <w:rPr>
          <w:rFonts w:ascii="仿宋_GB2312" w:eastAsia="仿宋_GB2312" w:hAnsi="黑体" w:hint="eastAsia"/>
          <w:bCs/>
          <w:sz w:val="32"/>
          <w:szCs w:val="32"/>
        </w:rPr>
        <w:t>三是</w:t>
      </w:r>
      <w:r>
        <w:rPr>
          <w:rFonts w:ascii="仿宋_GB2312" w:eastAsia="仿宋_GB2312" w:hAnsi="黑体" w:hint="eastAsia"/>
          <w:sz w:val="32"/>
          <w:szCs w:val="32"/>
        </w:rPr>
        <w:t>审批部门不得在法律法规之外，自行设立其他证明材料或审查意见；</w:t>
      </w:r>
      <w:r>
        <w:rPr>
          <w:rFonts w:ascii="仿宋_GB2312" w:eastAsia="仿宋_GB2312" w:hAnsi="黑体" w:hint="eastAsia"/>
          <w:bCs/>
          <w:sz w:val="32"/>
          <w:szCs w:val="32"/>
        </w:rPr>
        <w:t>四是</w:t>
      </w:r>
      <w:r>
        <w:rPr>
          <w:rFonts w:ascii="仿宋_GB2312" w:eastAsia="仿宋_GB2312" w:hAnsi="黑体" w:hint="eastAsia"/>
          <w:sz w:val="32"/>
          <w:szCs w:val="32"/>
        </w:rPr>
        <w:t>对于企业投资项目，项目单位按照有关规定办理核准、备案手续。</w:t>
      </w:r>
    </w:p>
    <w:p w:rsidR="00641A7F" w:rsidRDefault="00DF52E6">
      <w:pPr>
        <w:spacing w:line="360" w:lineRule="auto"/>
        <w:ind w:firstLineChars="200" w:firstLine="640"/>
        <w:jc w:val="left"/>
        <w:rPr>
          <w:rFonts w:ascii="仿宋_GB2312" w:eastAsia="仿宋_GB2312" w:hAnsi="黑体"/>
          <w:sz w:val="32"/>
          <w:szCs w:val="32"/>
        </w:rPr>
      </w:pPr>
      <w:r>
        <w:rPr>
          <w:rFonts w:ascii="楷体_GB2312" w:eastAsia="楷体_GB2312" w:hAnsi="黑体" w:hint="eastAsia"/>
          <w:sz w:val="32"/>
          <w:szCs w:val="32"/>
        </w:rPr>
        <w:t>（四）提升审批服务。</w:t>
      </w:r>
      <w:r>
        <w:rPr>
          <w:rFonts w:ascii="仿宋_GB2312" w:eastAsia="仿宋_GB2312" w:hAnsi="黑体" w:hint="eastAsia"/>
          <w:bCs/>
          <w:sz w:val="32"/>
          <w:szCs w:val="32"/>
        </w:rPr>
        <w:t>一是</w:t>
      </w:r>
      <w:r>
        <w:rPr>
          <w:rFonts w:ascii="仿宋_GB2312" w:eastAsia="仿宋_GB2312" w:hAnsi="黑体" w:hint="eastAsia"/>
          <w:sz w:val="32"/>
          <w:szCs w:val="32"/>
        </w:rPr>
        <w:t>实行一窗受理、综合办理，通过并联审批压缩办理时限；</w:t>
      </w:r>
      <w:r>
        <w:rPr>
          <w:rFonts w:ascii="仿宋_GB2312" w:eastAsia="仿宋_GB2312" w:hAnsi="黑体" w:hint="eastAsia"/>
          <w:bCs/>
          <w:sz w:val="32"/>
          <w:szCs w:val="32"/>
        </w:rPr>
        <w:t>二是</w:t>
      </w:r>
      <w:r>
        <w:rPr>
          <w:rFonts w:ascii="仿宋_GB2312" w:eastAsia="仿宋_GB2312" w:hAnsi="黑体" w:hint="eastAsia"/>
          <w:sz w:val="32"/>
          <w:szCs w:val="32"/>
        </w:rPr>
        <w:t>支持采取容缺后补、承诺制等便利化措施，不断优化审批流程，简化申报材料，提升审批效率和服务水平；</w:t>
      </w:r>
      <w:r>
        <w:rPr>
          <w:rFonts w:ascii="仿宋_GB2312" w:eastAsia="仿宋_GB2312" w:hAnsi="黑体" w:hint="eastAsia"/>
          <w:bCs/>
          <w:sz w:val="32"/>
          <w:szCs w:val="32"/>
        </w:rPr>
        <w:t>三是</w:t>
      </w:r>
      <w:r>
        <w:rPr>
          <w:rFonts w:ascii="仿宋_GB2312" w:eastAsia="仿宋_GB2312" w:hAnsi="黑体" w:hint="eastAsia"/>
          <w:sz w:val="32"/>
          <w:szCs w:val="32"/>
        </w:rPr>
        <w:t>在滨海新区政务帮办平台添加小型村庄建设办理事项并发布实施小型村庄建设项目施行简易审批办事指南，为项目单位提供在线办理和进度查询等互联网服务。</w:t>
      </w:r>
    </w:p>
    <w:p w:rsidR="00641A7F" w:rsidRDefault="00DF52E6">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t>四、落实好国家相关政策规定</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（一）根据国家相关文件规定，以下情况可依法不进行招标。</w:t>
      </w:r>
      <w:r>
        <w:rPr>
          <w:rFonts w:ascii="仿宋_GB2312" w:eastAsia="仿宋_GB2312" w:hAnsi="黑体" w:hint="eastAsia"/>
          <w:bCs/>
          <w:sz w:val="32"/>
          <w:szCs w:val="32"/>
        </w:rPr>
        <w:t>一是</w:t>
      </w:r>
      <w:r>
        <w:rPr>
          <w:rFonts w:ascii="仿宋_GB2312" w:eastAsia="仿宋_GB2312" w:hAnsi="黑体" w:hint="eastAsia"/>
          <w:sz w:val="32"/>
          <w:szCs w:val="32"/>
        </w:rPr>
        <w:t>使用国有资金投资的村庄建设项目，施工单项合同估算价不超过</w:t>
      </w:r>
      <w:r>
        <w:rPr>
          <w:rFonts w:eastAsia="仿宋_GB2312"/>
          <w:sz w:val="32"/>
          <w:szCs w:val="32"/>
        </w:rPr>
        <w:t>400</w:t>
      </w:r>
      <w:r>
        <w:rPr>
          <w:rFonts w:ascii="仿宋_GB2312" w:eastAsia="仿宋_GB2312" w:hAnsi="黑体" w:hint="eastAsia"/>
          <w:sz w:val="32"/>
          <w:szCs w:val="32"/>
        </w:rPr>
        <w:t>万，重要设备、材料等购物采购单项合同估算价不超过</w:t>
      </w:r>
      <w:r>
        <w:rPr>
          <w:rFonts w:eastAsia="仿宋_GB2312"/>
          <w:sz w:val="32"/>
          <w:szCs w:val="32"/>
        </w:rPr>
        <w:t>200</w:t>
      </w:r>
      <w:r>
        <w:rPr>
          <w:rFonts w:ascii="仿宋_GB2312" w:eastAsia="仿宋_GB2312" w:hAnsi="黑体" w:hint="eastAsia"/>
          <w:sz w:val="32"/>
          <w:szCs w:val="32"/>
        </w:rPr>
        <w:t>万，勘察、设计、监理等服务采购单项合同估算价不超过</w:t>
      </w:r>
      <w:r>
        <w:rPr>
          <w:rFonts w:eastAsia="仿宋_GB2312"/>
          <w:sz w:val="32"/>
          <w:szCs w:val="32"/>
        </w:rPr>
        <w:t>100</w:t>
      </w:r>
      <w:r>
        <w:rPr>
          <w:rFonts w:ascii="仿宋_GB2312" w:eastAsia="仿宋_GB2312" w:hAnsi="黑体" w:hint="eastAsia"/>
          <w:sz w:val="32"/>
          <w:szCs w:val="32"/>
        </w:rPr>
        <w:t>万的，可依法不进行招标；</w:t>
      </w:r>
      <w:r>
        <w:rPr>
          <w:rFonts w:ascii="仿宋_GB2312" w:eastAsia="仿宋_GB2312" w:hAnsi="黑体" w:hint="eastAsia"/>
          <w:bCs/>
          <w:sz w:val="32"/>
          <w:szCs w:val="32"/>
        </w:rPr>
        <w:t>二是</w:t>
      </w:r>
      <w:r>
        <w:rPr>
          <w:rFonts w:ascii="仿宋_GB2312" w:eastAsia="仿宋_GB2312" w:hAnsi="黑体" w:hint="eastAsia"/>
          <w:sz w:val="32"/>
          <w:szCs w:val="32"/>
        </w:rPr>
        <w:t>利用扶贫资金实行以工代赈、需要使用农民工等特殊情况，按照国家有关规定可以不进行招标；</w:t>
      </w:r>
      <w:r>
        <w:rPr>
          <w:rFonts w:ascii="仿宋_GB2312" w:eastAsia="仿宋_GB2312" w:hAnsi="黑体" w:hint="eastAsia"/>
          <w:bCs/>
          <w:sz w:val="32"/>
          <w:szCs w:val="32"/>
        </w:rPr>
        <w:lastRenderedPageBreak/>
        <w:t>三是</w:t>
      </w:r>
      <w:r>
        <w:rPr>
          <w:rFonts w:ascii="仿宋_GB2312" w:eastAsia="仿宋_GB2312" w:hAnsi="黑体" w:hint="eastAsia"/>
          <w:sz w:val="32"/>
          <w:szCs w:val="32"/>
        </w:rPr>
        <w:t>滨海新区整镇推进的村庄建设项目，其子项目由不同项目法人组织建设实施，且该子项目达不到必须招标的规模标准的，可以不进行招标。</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二）对于依法不进行招标的项目，项目单位要坚持公开公平公正公示的原则进行项目实施，如发现项目单位出现暗箱操作、利益输送等行为造成项目质量安全问题和政府资金流失浪费等情况的，相关审批部门应立即叫停项目实施和暂停资金拨付，并对负有责任的领导人员、项目直接负责人和其他直接责任人员依法给予相应处分。</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三）项目单位在建设项目谋划实施前，要通过座谈调研、入户调查等方式听取村民诉求，充分尊重村民意愿，保障村民参与集体决策。对于安排政府投资资金的村庄建设项目，要综合考虑村庄实际和工作基础，确定项目法人单位。具备条件的，可以由村民委员会、村集体经济组织等作为项目法人。以行政村为基本单元实施的村庄建设项目，鼓励项目法人组织村民投工投劳、就地取材开展建设。</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四）支持将政府投资建成的村庄项目产权划归村集体经济组织，由其承担管护责任，鼓励项目主管部门落实管护费用，对设施管护给予适当补助。同时积极引导受益农民多种形式参与管护，可以通过成立村容村貌建设协会等组织制定符合本村实际的政策对建成项目进行管护，如通过自家门前认领，对公共区域设置公益岗位，由村民分片负责等方式进行管护。</w:t>
      </w:r>
    </w:p>
    <w:p w:rsidR="00641A7F" w:rsidRDefault="00DF52E6">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lastRenderedPageBreak/>
        <w:t>五、部门职责</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区政务服务办、市规划资源局滨海分局、区农业农村委等相关行政主管部门和各涉农街镇建立协调机制，按照各自职责共同推进村庄建设项目施行简易审批。</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（一）区政务服务办：负责对本实施方案进行政策宣传、解读和相关审批及业务指导、培训等工作。</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（二）市规划资源局滨海分局：负责对各村庄规划和农村土地使用性质和用途进行业务指导；负责出具村庄项目开工前涉及的用地、规划意见等工作。</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（三）各相关行政主管部门：负责谋划实施村庄建设项目；负责村庄建设实施过程中项目招投标、质量安全、竣工验收、事中事后监管等工作。</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四）各涉农街镇：负责对适用简易审批范围的单个小型村庄建设项目施行简易审批。主要包括建设资金筹集、申请、拨付，组织项目招投标，建设施工进度及竣工验收等工作，并积极开展建成项目的抽查、后期跟踪管护和落实管护费用等工作；负责及时梳理总结单个小型村庄建设项目施行简易审批方面取得的新进展、新成效，宣传典型案例，增进村级组织、农民群众等对相关工作的理解支持。</w:t>
      </w:r>
    </w:p>
    <w:p w:rsidR="00641A7F" w:rsidRDefault="00DF52E6">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本实施意见自印发之日起施行，有效期</w:t>
      </w:r>
      <w:r>
        <w:rPr>
          <w:rFonts w:eastAsia="仿宋_GB2312"/>
          <w:sz w:val="32"/>
          <w:szCs w:val="32"/>
        </w:rPr>
        <w:t>5</w:t>
      </w:r>
      <w:r>
        <w:rPr>
          <w:rFonts w:ascii="仿宋_GB2312" w:eastAsia="仿宋_GB2312" w:hAnsi="黑体" w:hint="eastAsia"/>
          <w:sz w:val="32"/>
          <w:szCs w:val="32"/>
        </w:rPr>
        <w:t>年。</w:t>
      </w:r>
    </w:p>
    <w:p w:rsidR="00641A7F" w:rsidRDefault="00641A7F">
      <w:pPr>
        <w:spacing w:line="600" w:lineRule="exact"/>
        <w:rPr>
          <w:rFonts w:ascii="仿宋_GB2312" w:eastAsia="仿宋_GB2312" w:hAnsi="华文中宋"/>
          <w:sz w:val="32"/>
          <w:szCs w:val="32"/>
        </w:rPr>
      </w:pPr>
    </w:p>
    <w:p w:rsidR="00641A7F" w:rsidRDefault="00641A7F">
      <w:pPr>
        <w:jc w:val="left"/>
        <w:rPr>
          <w:rFonts w:ascii="仿宋_GB2312" w:eastAsia="仿宋_GB2312" w:hAnsi="仿宋"/>
          <w:sz w:val="32"/>
          <w:szCs w:val="32"/>
        </w:rPr>
      </w:pPr>
    </w:p>
    <w:p w:rsidR="00641A7F" w:rsidRDefault="00641A7F">
      <w:pPr>
        <w:jc w:val="left"/>
        <w:rPr>
          <w:rFonts w:ascii="仿宋_GB2312" w:eastAsia="仿宋_GB2312" w:hAnsi="仿宋"/>
          <w:sz w:val="32"/>
          <w:szCs w:val="32"/>
        </w:rPr>
      </w:pPr>
    </w:p>
    <w:p w:rsidR="00641A7F" w:rsidRDefault="00641A7F">
      <w:pPr>
        <w:jc w:val="left"/>
        <w:rPr>
          <w:rFonts w:ascii="仿宋_GB2312" w:eastAsia="仿宋_GB2312" w:hAnsi="仿宋"/>
          <w:sz w:val="32"/>
          <w:szCs w:val="32"/>
        </w:rPr>
      </w:pPr>
    </w:p>
    <w:p w:rsidR="00641A7F" w:rsidRDefault="00641A7F">
      <w:pPr>
        <w:jc w:val="left"/>
        <w:rPr>
          <w:rFonts w:ascii="仿宋_GB2312" w:eastAsia="仿宋_GB2312" w:hAnsi="仿宋"/>
          <w:sz w:val="32"/>
          <w:szCs w:val="32"/>
        </w:rPr>
      </w:pPr>
    </w:p>
    <w:p w:rsidR="00641A7F" w:rsidRDefault="00641A7F">
      <w:pPr>
        <w:ind w:rightChars="398" w:right="836"/>
        <w:rPr>
          <w:rFonts w:ascii="仿宋_GB2312" w:eastAsia="仿宋_GB2312"/>
          <w:sz w:val="32"/>
          <w:szCs w:val="32"/>
        </w:rPr>
      </w:pPr>
    </w:p>
    <w:p w:rsidR="00641A7F" w:rsidRDefault="00641A7F">
      <w:pPr>
        <w:ind w:rightChars="398" w:right="836"/>
        <w:rPr>
          <w:rFonts w:ascii="仿宋_GB2312" w:eastAsia="仿宋_GB2312"/>
          <w:sz w:val="32"/>
          <w:szCs w:val="32"/>
        </w:rPr>
      </w:pPr>
    </w:p>
    <w:p w:rsidR="00641A7F" w:rsidRDefault="00641A7F">
      <w:pPr>
        <w:ind w:rightChars="398" w:right="836"/>
        <w:rPr>
          <w:rFonts w:ascii="仿宋_GB2312" w:eastAsia="仿宋_GB2312"/>
          <w:sz w:val="32"/>
          <w:szCs w:val="32"/>
        </w:rPr>
      </w:pPr>
    </w:p>
    <w:p w:rsidR="00641A7F" w:rsidRDefault="00641A7F">
      <w:pPr>
        <w:ind w:rightChars="398" w:right="836"/>
        <w:rPr>
          <w:rFonts w:ascii="仿宋_GB2312" w:eastAsia="仿宋_GB2312"/>
          <w:sz w:val="32"/>
          <w:szCs w:val="32"/>
        </w:rPr>
      </w:pPr>
    </w:p>
    <w:p w:rsidR="00641A7F" w:rsidRDefault="00641A7F">
      <w:pPr>
        <w:ind w:rightChars="398" w:right="836"/>
        <w:rPr>
          <w:rFonts w:ascii="仿宋_GB2312" w:eastAsia="仿宋_GB2312"/>
          <w:sz w:val="32"/>
          <w:szCs w:val="32"/>
        </w:rPr>
      </w:pPr>
    </w:p>
    <w:p w:rsidR="00641A7F" w:rsidRDefault="00641A7F">
      <w:pPr>
        <w:ind w:rightChars="398" w:right="836"/>
        <w:rPr>
          <w:rFonts w:ascii="仿宋_GB2312" w:eastAsia="仿宋_GB2312"/>
          <w:sz w:val="32"/>
          <w:szCs w:val="32"/>
        </w:rPr>
      </w:pPr>
    </w:p>
    <w:p w:rsidR="00641A7F" w:rsidRDefault="00641A7F">
      <w:pPr>
        <w:ind w:rightChars="398" w:right="836"/>
        <w:rPr>
          <w:rFonts w:ascii="仿宋_GB2312" w:eastAsia="仿宋_GB2312"/>
          <w:sz w:val="32"/>
          <w:szCs w:val="32"/>
        </w:rPr>
      </w:pPr>
    </w:p>
    <w:p w:rsidR="00641A7F" w:rsidRDefault="00B71895">
      <w:pPr>
        <w:rPr>
          <w:rFonts w:ascii="仿宋_GB2312" w:eastAsia="仿宋_GB2312" w:hAnsi="仿宋"/>
          <w:sz w:val="32"/>
          <w:szCs w:val="32"/>
        </w:rPr>
      </w:pPr>
      <w:r w:rsidRPr="00B71895">
        <w:rPr>
          <w:rFonts w:ascii="黑体" w:eastAsia="黑体" w:hAnsi="仿宋"/>
          <w:sz w:val="32"/>
          <w:szCs w:val="32"/>
        </w:rPr>
        <w:pict>
          <v:line id="_x0000_s1028" style="position:absolute;left:0;text-align:left;z-index:251657728" from="-.1pt,30.5pt" to="442.3pt,30.5pt" strokeweight="1.25pt"/>
        </w:pict>
      </w:r>
      <w:r w:rsidRPr="00B71895">
        <w:rPr>
          <w:rFonts w:ascii="黑体" w:eastAsia="黑体" w:hAnsi="仿宋"/>
          <w:sz w:val="32"/>
          <w:szCs w:val="32"/>
        </w:rPr>
        <w:pict>
          <v:line id="_x0000_s1029" style="position:absolute;left:0;text-align:left;z-index:251658752" from="-.1pt,.75pt" to="442.3pt,.75pt" strokeweight="1.25pt"/>
        </w:pict>
      </w:r>
      <w:r w:rsidR="00DF52E6">
        <w:rPr>
          <w:rFonts w:ascii="仿宋_GB2312" w:eastAsia="仿宋_GB2312" w:hAnsi="仿宋" w:hint="eastAsia"/>
          <w:sz w:val="28"/>
          <w:szCs w:val="28"/>
        </w:rPr>
        <w:t>天津市滨海新区人民政府政务服务办综合室 202</w:t>
      </w:r>
      <w:r w:rsidR="00DF52E6">
        <w:rPr>
          <w:rFonts w:ascii="仿宋_GB2312" w:eastAsia="仿宋_GB2312" w:hAnsi="仿宋"/>
          <w:sz w:val="28"/>
          <w:szCs w:val="28"/>
        </w:rPr>
        <w:t>1</w:t>
      </w:r>
      <w:r w:rsidR="00DF52E6">
        <w:rPr>
          <w:rFonts w:ascii="仿宋_GB2312" w:eastAsia="仿宋_GB2312" w:hAnsi="仿宋" w:hint="eastAsia"/>
          <w:sz w:val="28"/>
          <w:szCs w:val="28"/>
        </w:rPr>
        <w:t>年</w:t>
      </w:r>
      <w:r w:rsidR="00DF52E6">
        <w:rPr>
          <w:rFonts w:ascii="仿宋_GB2312" w:eastAsia="仿宋_GB2312" w:hAnsi="仿宋"/>
          <w:sz w:val="28"/>
          <w:szCs w:val="28"/>
        </w:rPr>
        <w:t>6</w:t>
      </w:r>
      <w:r w:rsidR="00DF52E6">
        <w:rPr>
          <w:rFonts w:ascii="仿宋_GB2312" w:eastAsia="仿宋_GB2312" w:hAnsi="仿宋" w:hint="eastAsia"/>
          <w:sz w:val="28"/>
          <w:szCs w:val="28"/>
        </w:rPr>
        <w:t>月</w:t>
      </w:r>
      <w:r w:rsidR="00DF52E6">
        <w:rPr>
          <w:rFonts w:ascii="仿宋_GB2312" w:eastAsia="仿宋_GB2312" w:hAnsi="仿宋"/>
          <w:sz w:val="28"/>
          <w:szCs w:val="28"/>
        </w:rPr>
        <w:t>4</w:t>
      </w:r>
      <w:r w:rsidR="00DF52E6">
        <w:rPr>
          <w:rFonts w:ascii="仿宋_GB2312" w:eastAsia="仿宋_GB2312" w:hAnsi="仿宋" w:hint="eastAsia"/>
          <w:sz w:val="28"/>
          <w:szCs w:val="28"/>
        </w:rPr>
        <w:t>日印发</w:t>
      </w:r>
    </w:p>
    <w:sectPr w:rsidR="00641A7F" w:rsidSect="00641A7F">
      <w:footerReference w:type="even" r:id="rId7"/>
      <w:footerReference w:type="default" r:id="rId8"/>
      <w:pgSz w:w="11906" w:h="16838"/>
      <w:pgMar w:top="2098" w:right="1474" w:bottom="1985" w:left="1588" w:header="851" w:footer="1418" w:gutter="0"/>
      <w:cols w:space="720"/>
      <w:docGrid w:type="line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204" w:rsidRDefault="00BE1204" w:rsidP="00641A7F">
      <w:r>
        <w:separator/>
      </w:r>
    </w:p>
  </w:endnote>
  <w:endnote w:type="continuationSeparator" w:id="1">
    <w:p w:rsidR="00BE1204" w:rsidRDefault="00BE1204" w:rsidP="00641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altName w:val="Droid Sans"/>
    <w:panose1 w:val="020B0604030504040204"/>
    <w:charset w:val="00"/>
    <w:family w:val="swiss"/>
    <w:pitch w:val="default"/>
    <w:sig w:usb0="00000000" w:usb1="00000000" w:usb2="00000029" w:usb3="00000000" w:csb0="200101FF" w:csb1="2028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7F" w:rsidRDefault="00DF52E6">
    <w:pPr>
      <w:pStyle w:val="a6"/>
      <w:framePr w:w="401" w:wrap="around" w:vAnchor="text" w:hAnchor="margin" w:xAlign="outside" w:y="4"/>
      <w:rPr>
        <w:rStyle w:val="a9"/>
        <w:rFonts w:ascii="Calibri" w:hAnsi="Calibri"/>
        <w:sz w:val="28"/>
        <w:szCs w:val="28"/>
      </w:rPr>
    </w:pPr>
    <w:r>
      <w:rPr>
        <w:rStyle w:val="a9"/>
        <w:rFonts w:ascii="Calibri" w:hAnsi="Calibri"/>
        <w:sz w:val="28"/>
        <w:szCs w:val="28"/>
      </w:rPr>
      <w:t>-</w:t>
    </w:r>
    <w:r w:rsidR="00B71895">
      <w:rPr>
        <w:rStyle w:val="a9"/>
        <w:rFonts w:ascii="Calibri" w:hAnsi="Calibri"/>
        <w:sz w:val="28"/>
        <w:szCs w:val="28"/>
      </w:rPr>
      <w:fldChar w:fldCharType="begin"/>
    </w:r>
    <w:r>
      <w:rPr>
        <w:rStyle w:val="a9"/>
        <w:rFonts w:ascii="Calibri" w:hAnsi="Calibri"/>
        <w:sz w:val="28"/>
        <w:szCs w:val="28"/>
      </w:rPr>
      <w:instrText xml:space="preserve">PAGE  </w:instrText>
    </w:r>
    <w:r w:rsidR="00B71895">
      <w:rPr>
        <w:rStyle w:val="a9"/>
        <w:rFonts w:ascii="Calibri" w:hAnsi="Calibri"/>
        <w:sz w:val="28"/>
        <w:szCs w:val="28"/>
      </w:rPr>
      <w:fldChar w:fldCharType="separate"/>
    </w:r>
    <w:r w:rsidR="00161689">
      <w:rPr>
        <w:rStyle w:val="a9"/>
        <w:rFonts w:ascii="Calibri" w:hAnsi="Calibri"/>
        <w:noProof/>
        <w:sz w:val="28"/>
        <w:szCs w:val="28"/>
      </w:rPr>
      <w:t>2</w:t>
    </w:r>
    <w:r w:rsidR="00B71895">
      <w:rPr>
        <w:rStyle w:val="a9"/>
        <w:rFonts w:ascii="Calibri" w:hAnsi="Calibri"/>
        <w:sz w:val="28"/>
        <w:szCs w:val="28"/>
      </w:rPr>
      <w:fldChar w:fldCharType="end"/>
    </w:r>
    <w:r>
      <w:rPr>
        <w:rStyle w:val="a9"/>
        <w:rFonts w:ascii="Calibri" w:hAnsi="Calibri"/>
        <w:sz w:val="28"/>
        <w:szCs w:val="28"/>
      </w:rPr>
      <w:t>-</w:t>
    </w:r>
  </w:p>
  <w:p w:rsidR="00641A7F" w:rsidRDefault="00641A7F">
    <w:pPr>
      <w:pStyle w:val="a6"/>
      <w:ind w:right="360" w:firstLineChars="50" w:firstLine="140"/>
      <w:rPr>
        <w:rFonts w:ascii="仿宋_GB2312" w:eastAsia="仿宋_GB2312"/>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7F" w:rsidRDefault="00DF52E6">
    <w:pPr>
      <w:pStyle w:val="a6"/>
      <w:framePr w:w="661" w:wrap="around" w:vAnchor="text" w:hAnchor="page" w:x="9631" w:y="49"/>
      <w:ind w:firstLineChars="50" w:firstLine="140"/>
      <w:rPr>
        <w:rStyle w:val="a9"/>
        <w:rFonts w:ascii="宋体" w:hAnsi="宋体"/>
        <w:sz w:val="28"/>
        <w:szCs w:val="28"/>
      </w:rPr>
    </w:pPr>
    <w:r>
      <w:rPr>
        <w:rStyle w:val="a9"/>
        <w:rFonts w:ascii="宋体" w:hAnsi="宋体"/>
        <w:sz w:val="28"/>
        <w:szCs w:val="28"/>
      </w:rPr>
      <w:t>-</w:t>
    </w:r>
    <w:r w:rsidR="00B71895">
      <w:rPr>
        <w:rStyle w:val="a9"/>
        <w:rFonts w:ascii="宋体" w:hAnsi="宋体"/>
        <w:sz w:val="28"/>
        <w:szCs w:val="28"/>
      </w:rPr>
      <w:fldChar w:fldCharType="begin"/>
    </w:r>
    <w:r>
      <w:rPr>
        <w:rStyle w:val="a9"/>
        <w:rFonts w:ascii="宋体" w:hAnsi="宋体"/>
        <w:sz w:val="28"/>
        <w:szCs w:val="28"/>
      </w:rPr>
      <w:instrText xml:space="preserve">PAGE  </w:instrText>
    </w:r>
    <w:r w:rsidR="00B71895">
      <w:rPr>
        <w:rStyle w:val="a9"/>
        <w:rFonts w:ascii="宋体" w:hAnsi="宋体"/>
        <w:sz w:val="28"/>
        <w:szCs w:val="28"/>
      </w:rPr>
      <w:fldChar w:fldCharType="separate"/>
    </w:r>
    <w:r w:rsidR="00161689">
      <w:rPr>
        <w:rStyle w:val="a9"/>
        <w:rFonts w:ascii="宋体" w:hAnsi="宋体"/>
        <w:noProof/>
        <w:sz w:val="28"/>
        <w:szCs w:val="28"/>
      </w:rPr>
      <w:t>1</w:t>
    </w:r>
    <w:r w:rsidR="00B71895">
      <w:rPr>
        <w:rStyle w:val="a9"/>
        <w:rFonts w:ascii="宋体" w:hAnsi="宋体"/>
        <w:sz w:val="28"/>
        <w:szCs w:val="28"/>
      </w:rPr>
      <w:fldChar w:fldCharType="end"/>
    </w:r>
    <w:r>
      <w:rPr>
        <w:rStyle w:val="a9"/>
        <w:rFonts w:ascii="宋体" w:hAnsi="宋体"/>
        <w:sz w:val="28"/>
        <w:szCs w:val="28"/>
      </w:rPr>
      <w:t>-</w:t>
    </w:r>
  </w:p>
  <w:p w:rsidR="00641A7F" w:rsidRDefault="00641A7F">
    <w:pPr>
      <w:pStyle w:val="a6"/>
      <w:wordWrap w:val="0"/>
      <w:ind w:right="360" w:firstLine="360"/>
      <w:jc w:val="right"/>
      <w:rPr>
        <w:rFonts w:ascii="仿宋_GB2312" w:eastAsia="仿宋_GB231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204" w:rsidRDefault="00BE1204" w:rsidP="00641A7F">
      <w:r>
        <w:separator/>
      </w:r>
    </w:p>
  </w:footnote>
  <w:footnote w:type="continuationSeparator" w:id="1">
    <w:p w:rsidR="00BE1204" w:rsidRDefault="00BE1204" w:rsidP="00641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evenAndOddHeaders/>
  <w:drawingGridHorizontalSpacing w:val="201"/>
  <w:drawingGridVerticalSpacing w:val="289"/>
  <w:displayHorizontalDrawingGridEvery w:val="0"/>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F5DF847"/>
    <w:rsid w:val="9AFF23EA"/>
    <w:rsid w:val="9F7F042C"/>
    <w:rsid w:val="ABCFCD7E"/>
    <w:rsid w:val="B33A757B"/>
    <w:rsid w:val="B7FFBBD2"/>
    <w:rsid w:val="BB4FFD86"/>
    <w:rsid w:val="BCEA183B"/>
    <w:rsid w:val="BEDE859D"/>
    <w:rsid w:val="BEFAA767"/>
    <w:rsid w:val="BF7F6A2E"/>
    <w:rsid w:val="BF97E971"/>
    <w:rsid w:val="BFFB0808"/>
    <w:rsid w:val="D1FF8235"/>
    <w:rsid w:val="D5898161"/>
    <w:rsid w:val="D964A66F"/>
    <w:rsid w:val="DFFDC9F5"/>
    <w:rsid w:val="E3A767E9"/>
    <w:rsid w:val="EF37527D"/>
    <w:rsid w:val="F51F2A15"/>
    <w:rsid w:val="F6F77245"/>
    <w:rsid w:val="F7FBB2BA"/>
    <w:rsid w:val="F97F4D29"/>
    <w:rsid w:val="FCFF78D8"/>
    <w:rsid w:val="FEFA383A"/>
    <w:rsid w:val="00000F20"/>
    <w:rsid w:val="000047C6"/>
    <w:rsid w:val="0002351A"/>
    <w:rsid w:val="000C55D5"/>
    <w:rsid w:val="000E6898"/>
    <w:rsid w:val="00161689"/>
    <w:rsid w:val="00172A27"/>
    <w:rsid w:val="002139D2"/>
    <w:rsid w:val="0026437C"/>
    <w:rsid w:val="00270A09"/>
    <w:rsid w:val="00286EEE"/>
    <w:rsid w:val="002A50C9"/>
    <w:rsid w:val="002C4097"/>
    <w:rsid w:val="003B11BD"/>
    <w:rsid w:val="003B5AA8"/>
    <w:rsid w:val="003C7618"/>
    <w:rsid w:val="003E14D5"/>
    <w:rsid w:val="004175AB"/>
    <w:rsid w:val="00425787"/>
    <w:rsid w:val="00435A13"/>
    <w:rsid w:val="0046035C"/>
    <w:rsid w:val="00487E51"/>
    <w:rsid w:val="004B50D7"/>
    <w:rsid w:val="005668DC"/>
    <w:rsid w:val="00592030"/>
    <w:rsid w:val="00603927"/>
    <w:rsid w:val="00606629"/>
    <w:rsid w:val="006345C1"/>
    <w:rsid w:val="00641A7F"/>
    <w:rsid w:val="00660D82"/>
    <w:rsid w:val="006B35B7"/>
    <w:rsid w:val="00775E31"/>
    <w:rsid w:val="00786017"/>
    <w:rsid w:val="007C2624"/>
    <w:rsid w:val="007E15E5"/>
    <w:rsid w:val="007E3A2B"/>
    <w:rsid w:val="007E53CE"/>
    <w:rsid w:val="0082736D"/>
    <w:rsid w:val="00833E29"/>
    <w:rsid w:val="008536DA"/>
    <w:rsid w:val="0085732C"/>
    <w:rsid w:val="00886CC9"/>
    <w:rsid w:val="00896C51"/>
    <w:rsid w:val="008A0A27"/>
    <w:rsid w:val="00973629"/>
    <w:rsid w:val="0098400A"/>
    <w:rsid w:val="009D430D"/>
    <w:rsid w:val="009F0934"/>
    <w:rsid w:val="009F55A9"/>
    <w:rsid w:val="00A10989"/>
    <w:rsid w:val="00A327DA"/>
    <w:rsid w:val="00A37CFF"/>
    <w:rsid w:val="00A545BC"/>
    <w:rsid w:val="00A954E4"/>
    <w:rsid w:val="00B57537"/>
    <w:rsid w:val="00B61BF9"/>
    <w:rsid w:val="00B638F8"/>
    <w:rsid w:val="00B71895"/>
    <w:rsid w:val="00BA64EB"/>
    <w:rsid w:val="00BC79FE"/>
    <w:rsid w:val="00BE1204"/>
    <w:rsid w:val="00C03E6F"/>
    <w:rsid w:val="00C61B22"/>
    <w:rsid w:val="00CF668D"/>
    <w:rsid w:val="00D003A1"/>
    <w:rsid w:val="00D302F4"/>
    <w:rsid w:val="00D43918"/>
    <w:rsid w:val="00D740FC"/>
    <w:rsid w:val="00DA0B94"/>
    <w:rsid w:val="00DF52E6"/>
    <w:rsid w:val="00E23EB3"/>
    <w:rsid w:val="00E434B1"/>
    <w:rsid w:val="00E9308E"/>
    <w:rsid w:val="00EA03C1"/>
    <w:rsid w:val="00EA23BF"/>
    <w:rsid w:val="00F173C4"/>
    <w:rsid w:val="00F17709"/>
    <w:rsid w:val="00F84EC7"/>
    <w:rsid w:val="00FB4FE1"/>
    <w:rsid w:val="00FC7DAC"/>
    <w:rsid w:val="00FF3B6F"/>
    <w:rsid w:val="0D1E59F4"/>
    <w:rsid w:val="17FF0D77"/>
    <w:rsid w:val="1BDBAD51"/>
    <w:rsid w:val="1BE77577"/>
    <w:rsid w:val="1FBD7E7E"/>
    <w:rsid w:val="2FFA77DA"/>
    <w:rsid w:val="347D58F1"/>
    <w:rsid w:val="3AFB534E"/>
    <w:rsid w:val="3BB942B6"/>
    <w:rsid w:val="57FF744A"/>
    <w:rsid w:val="5FCB48E9"/>
    <w:rsid w:val="68FEFB88"/>
    <w:rsid w:val="6DFFD2C3"/>
    <w:rsid w:val="6FBED5FE"/>
    <w:rsid w:val="75A30B8C"/>
    <w:rsid w:val="75FF663F"/>
    <w:rsid w:val="7DAE1999"/>
    <w:rsid w:val="7EFFBC23"/>
    <w:rsid w:val="7FEDBA23"/>
    <w:rsid w:val="7FFFD5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uiPriority="1" w:unhideWhenUsed="1" w:qFormat="1"/>
    <w:lsdException w:name="Subtitle" w:qFormat="1"/>
    <w:lsdException w:name="Salutation"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A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641A7F"/>
    <w:rPr>
      <w:rFonts w:ascii="仿宋_GB2312" w:eastAsia="仿宋_GB2312" w:hAnsi="宋体"/>
      <w:color w:val="000000"/>
      <w:sz w:val="28"/>
      <w:szCs w:val="28"/>
      <w:lang w:val="en-GB"/>
    </w:rPr>
  </w:style>
  <w:style w:type="paragraph" w:styleId="a4">
    <w:name w:val="Closing"/>
    <w:basedOn w:val="a"/>
    <w:qFormat/>
    <w:rsid w:val="00641A7F"/>
    <w:pPr>
      <w:ind w:leftChars="2100" w:left="100"/>
    </w:pPr>
    <w:rPr>
      <w:rFonts w:ascii="仿宋_GB2312" w:eastAsia="仿宋_GB2312" w:hAnsi="宋体"/>
      <w:color w:val="000000"/>
      <w:sz w:val="28"/>
      <w:szCs w:val="28"/>
      <w:lang w:val="en-GB"/>
    </w:rPr>
  </w:style>
  <w:style w:type="paragraph" w:styleId="a5">
    <w:name w:val="Balloon Text"/>
    <w:basedOn w:val="a"/>
    <w:qFormat/>
    <w:rsid w:val="00641A7F"/>
    <w:rPr>
      <w:sz w:val="18"/>
      <w:szCs w:val="18"/>
    </w:rPr>
  </w:style>
  <w:style w:type="paragraph" w:styleId="a6">
    <w:name w:val="footer"/>
    <w:basedOn w:val="a"/>
    <w:link w:val="Char"/>
    <w:qFormat/>
    <w:rsid w:val="00641A7F"/>
    <w:pPr>
      <w:tabs>
        <w:tab w:val="center" w:pos="4153"/>
        <w:tab w:val="right" w:pos="8306"/>
      </w:tabs>
      <w:snapToGrid w:val="0"/>
      <w:jc w:val="left"/>
    </w:pPr>
    <w:rPr>
      <w:sz w:val="18"/>
      <w:szCs w:val="18"/>
    </w:rPr>
  </w:style>
  <w:style w:type="paragraph" w:styleId="a7">
    <w:name w:val="header"/>
    <w:basedOn w:val="a"/>
    <w:qFormat/>
    <w:rsid w:val="00641A7F"/>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0"/>
    <w:qFormat/>
    <w:rsid w:val="00641A7F"/>
    <w:pPr>
      <w:spacing w:before="240" w:after="60"/>
      <w:jc w:val="center"/>
      <w:outlineLvl w:val="0"/>
    </w:pPr>
    <w:rPr>
      <w:rFonts w:ascii="Cambria" w:hAnsi="Cambria"/>
      <w:b/>
      <w:bCs/>
      <w:sz w:val="32"/>
      <w:szCs w:val="32"/>
    </w:rPr>
  </w:style>
  <w:style w:type="character" w:styleId="a9">
    <w:name w:val="page number"/>
    <w:basedOn w:val="a0"/>
    <w:qFormat/>
    <w:rsid w:val="00641A7F"/>
  </w:style>
  <w:style w:type="character" w:styleId="aa">
    <w:name w:val="FollowedHyperlink"/>
    <w:qFormat/>
    <w:rsid w:val="00641A7F"/>
    <w:rPr>
      <w:color w:val="800080"/>
      <w:u w:val="single"/>
    </w:rPr>
  </w:style>
  <w:style w:type="character" w:styleId="ab">
    <w:name w:val="Hyperlink"/>
    <w:qFormat/>
    <w:rsid w:val="00641A7F"/>
    <w:rPr>
      <w:color w:val="0000FF"/>
      <w:u w:val="single"/>
    </w:rPr>
  </w:style>
  <w:style w:type="paragraph" w:customStyle="1" w:styleId="Style2">
    <w:name w:val="_Style 2"/>
    <w:basedOn w:val="a"/>
    <w:qFormat/>
    <w:rsid w:val="00641A7F"/>
  </w:style>
  <w:style w:type="paragraph" w:customStyle="1" w:styleId="Standard">
    <w:name w:val="Standard"/>
    <w:qFormat/>
    <w:rsid w:val="00641A7F"/>
    <w:pPr>
      <w:suppressAutoHyphens/>
      <w:autoSpaceDN w:val="0"/>
      <w:textAlignment w:val="baseline"/>
    </w:pPr>
    <w:rPr>
      <w:rFonts w:cs="Arial Unicode MS"/>
      <w:kern w:val="3"/>
      <w:sz w:val="24"/>
      <w:szCs w:val="24"/>
      <w:lang w:bidi="hi-IN"/>
    </w:rPr>
  </w:style>
  <w:style w:type="paragraph" w:customStyle="1" w:styleId="ParaCharCharCharCharCharCharChar">
    <w:name w:val="默认段落字体 Para Char Char Char Char Char Char Char"/>
    <w:basedOn w:val="a"/>
    <w:qFormat/>
    <w:rsid w:val="00641A7F"/>
    <w:rPr>
      <w:rFonts w:ascii="Tahoma" w:hAnsi="Tahoma"/>
      <w:sz w:val="24"/>
      <w:szCs w:val="20"/>
    </w:rPr>
  </w:style>
  <w:style w:type="character" w:customStyle="1" w:styleId="Char0">
    <w:name w:val="标题 Char"/>
    <w:link w:val="a8"/>
    <w:qFormat/>
    <w:rsid w:val="00641A7F"/>
    <w:rPr>
      <w:rFonts w:ascii="Cambria" w:eastAsia="宋体" w:hAnsi="Cambria"/>
      <w:b/>
      <w:bCs/>
      <w:kern w:val="2"/>
      <w:sz w:val="32"/>
      <w:szCs w:val="32"/>
      <w:lang w:bidi="ar-SA"/>
    </w:rPr>
  </w:style>
  <w:style w:type="character" w:customStyle="1" w:styleId="Char">
    <w:name w:val="页脚 Char"/>
    <w:link w:val="a6"/>
    <w:qFormat/>
    <w:rsid w:val="00641A7F"/>
    <w:rPr>
      <w:rFonts w:eastAsia="宋体"/>
      <w:kern w:val="2"/>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466</Words>
  <Characters>2661</Characters>
  <Application>Microsoft Office Word</Application>
  <DocSecurity>0</DocSecurity>
  <Lines>22</Lines>
  <Paragraphs>6</Paragraphs>
  <ScaleCrop>false</ScaleCrop>
  <Company>微软中国</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张殿武</dc:creator>
  <cp:lastModifiedBy>文字审修</cp:lastModifiedBy>
  <cp:revision>5</cp:revision>
  <cp:lastPrinted>2014-07-17T20:32:00Z</cp:lastPrinted>
  <dcterms:created xsi:type="dcterms:W3CDTF">2020-10-20T22:34:00Z</dcterms:created>
  <dcterms:modified xsi:type="dcterms:W3CDTF">2025-11-03T08:02:00Z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