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916B">
      <w:pPr>
        <w:rPr>
          <w:rFonts w:ascii="仿宋_GB2312" w:eastAsia="仿宋_GB2312"/>
          <w:sz w:val="32"/>
          <w:szCs w:val="32"/>
        </w:rPr>
      </w:pPr>
    </w:p>
    <w:p w14:paraId="5E852A58">
      <w:pPr>
        <w:rPr>
          <w:rFonts w:ascii="仿宋_GB2312" w:eastAsia="仿宋_GB2312"/>
          <w:sz w:val="32"/>
          <w:szCs w:val="32"/>
        </w:rPr>
      </w:pPr>
    </w:p>
    <w:p w14:paraId="613E3963">
      <w:pPr>
        <w:rPr>
          <w:rFonts w:ascii="仿宋_GB2312" w:eastAsia="仿宋_GB2312"/>
          <w:sz w:val="32"/>
          <w:szCs w:val="32"/>
        </w:rPr>
      </w:pPr>
    </w:p>
    <w:p w14:paraId="2113EB4A">
      <w:pPr>
        <w:spacing w:line="360" w:lineRule="auto"/>
        <w:jc w:val="center"/>
        <w:rPr>
          <w:rFonts w:ascii="仿宋_GB2312" w:eastAsia="仿宋_GB2312"/>
          <w:sz w:val="32"/>
          <w:szCs w:val="32"/>
        </w:rPr>
      </w:pPr>
    </w:p>
    <w:p w14:paraId="2E567A41">
      <w:pPr>
        <w:jc w:val="center"/>
        <w:rPr>
          <w:rFonts w:hint="default" w:ascii="Times New Roman" w:hAnsi="Times New Roman" w:eastAsia="仿宋_GB2312" w:cs="Times New Roman"/>
          <w:sz w:val="32"/>
          <w:szCs w:val="32"/>
        </w:rPr>
      </w:pPr>
    </w:p>
    <w:p w14:paraId="148C11E0">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号</w:t>
      </w:r>
    </w:p>
    <w:p w14:paraId="019F210B">
      <w:pPr>
        <w:rPr>
          <w:rFonts w:ascii="仿宋_GB2312" w:eastAsia="仿宋_GB2312"/>
          <w:sz w:val="32"/>
          <w:szCs w:val="32"/>
        </w:rPr>
      </w:pPr>
      <w:bookmarkStart w:id="0" w:name="_GoBack"/>
      <w:bookmarkEnd w:id="0"/>
    </w:p>
    <w:p w14:paraId="083996F4">
      <w:pPr>
        <w:pStyle w:val="16"/>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411</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120116</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657027</w:t>
      </w:r>
      <w:r>
        <w:rPr>
          <w:rFonts w:hint="eastAsia" w:ascii="Times New Roman" w:hAnsi="Times New Roman" w:eastAsia="仿宋_GB2312" w:cs="Times New Roman"/>
          <w:kern w:val="2"/>
          <w:sz w:val="32"/>
          <w:szCs w:val="32"/>
          <w:lang w:val="en-US" w:eastAsia="zh-CN" w:bidi="ar-SA"/>
        </w:rPr>
        <w:t>）</w:t>
      </w:r>
    </w:p>
    <w:p w14:paraId="037B9462">
      <w:pPr>
        <w:pStyle w:val="16"/>
        <w:spacing w:line="580" w:lineRule="exact"/>
        <w:jc w:val="center"/>
        <w:rPr>
          <w:rFonts w:hint="eastAsia" w:ascii="Times New Roman" w:hAnsi="Times New Roman" w:eastAsia="仿宋_GB2312" w:cs="Times New Roman"/>
          <w:kern w:val="2"/>
          <w:sz w:val="32"/>
          <w:szCs w:val="32"/>
          <w:lang w:val="en-US" w:eastAsia="zh-CN" w:bidi="ar-SA"/>
        </w:rPr>
      </w:pPr>
    </w:p>
    <w:p w14:paraId="660D8DC4">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rPr>
        <w:t>关于</w:t>
      </w:r>
      <w:r>
        <w:rPr>
          <w:rFonts w:hint="eastAsia" w:ascii="方正小标宋简体" w:hAnsi="方正小标宋简体" w:eastAsia="方正小标宋简体" w:cs="方正小标宋简体"/>
          <w:color w:val="000000"/>
          <w:sz w:val="44"/>
          <w:lang w:eastAsia="zh-CN"/>
        </w:rPr>
        <w:t>秦滨高速及津石高速高风险区域管道</w:t>
      </w:r>
    </w:p>
    <w:p w14:paraId="42C83CEE">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color w:val="000000"/>
          <w:sz w:val="44"/>
          <w:lang w:val="en-US" w:eastAsia="zh-CN"/>
        </w:rPr>
      </w:pPr>
      <w:r>
        <w:rPr>
          <w:rFonts w:hint="eastAsia" w:ascii="方正小标宋简体" w:hAnsi="方正小标宋简体" w:eastAsia="方正小标宋简体" w:cs="方正小标宋简体"/>
          <w:color w:val="000000"/>
          <w:sz w:val="44"/>
          <w:lang w:eastAsia="zh-CN"/>
        </w:rPr>
        <w:t>安全隐患治理工程</w:t>
      </w:r>
      <w:r>
        <w:rPr>
          <w:rFonts w:hint="eastAsia" w:ascii="方正小标宋简体" w:hAnsi="方正小标宋简体" w:eastAsia="方正小标宋简体" w:cs="方正小标宋简体"/>
          <w:color w:val="000000"/>
          <w:sz w:val="44"/>
          <w:lang w:val="en-US" w:eastAsia="zh-CN"/>
        </w:rPr>
        <w:t>环境影响报告表的批复</w:t>
      </w:r>
    </w:p>
    <w:p w14:paraId="09E5C8C8">
      <w:pPr>
        <w:spacing w:line="0" w:lineRule="atLeast"/>
        <w:jc w:val="center"/>
        <w:rPr>
          <w:rFonts w:ascii="宋体" w:hAnsi="宋体"/>
          <w:b/>
          <w:color w:val="000000"/>
          <w:sz w:val="21"/>
          <w:szCs w:val="21"/>
        </w:rPr>
      </w:pPr>
    </w:p>
    <w:p w14:paraId="67E9E72B">
      <w:pPr>
        <w:pStyle w:val="16"/>
        <w:pageBreakBefore w:val="0"/>
        <w:widowControl w:val="0"/>
        <w:kinsoku/>
        <w:wordWrap/>
        <w:overflowPunct/>
        <w:topLinePunct w:val="0"/>
        <w:autoSpaceDE/>
        <w:autoSpaceDN/>
        <w:bidi w:val="0"/>
        <w:snapToGrid/>
        <w:spacing w:line="600" w:lineRule="exact"/>
        <w:jc w:val="both"/>
        <w:rPr>
          <w:rFonts w:eastAsia="仿宋_GB2312"/>
          <w:sz w:val="32"/>
          <w:szCs w:val="32"/>
        </w:rPr>
      </w:pPr>
      <w:r>
        <w:rPr>
          <w:rFonts w:hint="eastAsia" w:eastAsia="仿宋_GB2312"/>
          <w:sz w:val="32"/>
          <w:szCs w:val="32"/>
          <w:lang w:val="en-US" w:eastAsia="zh-CN"/>
        </w:rPr>
        <w:t>中国石油天然气股份有限公司大港油田分公司</w:t>
      </w:r>
      <w:r>
        <w:rPr>
          <w:rFonts w:hint="eastAsia" w:eastAsia="仿宋_GB2312"/>
          <w:sz w:val="32"/>
          <w:szCs w:val="32"/>
          <w:lang w:eastAsia="zh-CN"/>
        </w:rPr>
        <w:t>：</w:t>
      </w:r>
    </w:p>
    <w:p w14:paraId="5DE8A161">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ascii="Times New Roman" w:hAnsi="Times New Roman" w:eastAsia="仿宋_GB2312" w:cs="Times New Roman"/>
          <w:bCs/>
          <w:sz w:val="32"/>
          <w:szCs w:val="32"/>
          <w:lang w:val="en-US" w:eastAsia="zh-CN"/>
        </w:rPr>
      </w:pPr>
      <w:r>
        <w:rPr>
          <w:rFonts w:hint="eastAsia" w:eastAsia="仿宋_GB2312"/>
          <w:sz w:val="32"/>
          <w:szCs w:val="32"/>
          <w:lang w:eastAsia="zh-CN"/>
        </w:rPr>
        <w:t>你公司</w:t>
      </w:r>
      <w:r>
        <w:rPr>
          <w:rFonts w:eastAsia="仿宋_GB2312"/>
          <w:sz w:val="32"/>
          <w:szCs w:val="32"/>
        </w:rPr>
        <w:t>呈</w:t>
      </w:r>
      <w:r>
        <w:rPr>
          <w:rFonts w:hint="eastAsia" w:eastAsia="仿宋_GB2312"/>
          <w:sz w:val="32"/>
          <w:szCs w:val="32"/>
          <w:lang w:eastAsia="zh-CN"/>
        </w:rPr>
        <w:t>报的《秦滨高速及津石高速高风险区域管道安全隐患治理工程环境影响报告表的请示》、</w:t>
      </w:r>
      <w:r>
        <w:rPr>
          <w:rFonts w:hint="eastAsia" w:eastAsia="仿宋_GB2312"/>
          <w:sz w:val="32"/>
          <w:szCs w:val="32"/>
          <w:lang w:val="en-US" w:eastAsia="zh-CN"/>
        </w:rPr>
        <w:t>联合泰泽环境科技发展有限公司编制的</w:t>
      </w:r>
      <w:r>
        <w:rPr>
          <w:rFonts w:hint="eastAsia" w:eastAsia="仿宋_GB2312"/>
          <w:sz w:val="32"/>
          <w:szCs w:val="32"/>
          <w:lang w:eastAsia="zh-CN"/>
        </w:rPr>
        <w:t>《秦滨高速及津石高速高风险区域管道安全隐患治理工程环境影响报告表</w:t>
      </w:r>
      <w:r>
        <w:rPr>
          <w:rFonts w:eastAsia="仿宋_GB2312"/>
          <w:sz w:val="32"/>
          <w:szCs w:val="32"/>
        </w:rPr>
        <w:t>》</w:t>
      </w:r>
      <w:r>
        <w:rPr>
          <w:rFonts w:hint="eastAsia" w:eastAsia="仿宋_GB2312"/>
          <w:sz w:val="32"/>
          <w:szCs w:val="32"/>
          <w:lang w:val="en-US" w:eastAsia="zh-CN"/>
        </w:rPr>
        <w:t>等材料</w:t>
      </w:r>
      <w:r>
        <w:rPr>
          <w:rFonts w:eastAsia="仿宋_GB2312"/>
          <w:sz w:val="32"/>
          <w:szCs w:val="32"/>
        </w:rPr>
        <w:t>收悉。经研究，现批复如下：</w:t>
      </w:r>
      <w:r>
        <w:rPr>
          <w:rFonts w:hint="eastAsia" w:eastAsia="仿宋_GB2312"/>
          <w:sz w:val="32"/>
          <w:szCs w:val="32"/>
          <w:lang w:val="en-US" w:eastAsia="zh-CN"/>
        </w:rPr>
        <w:t xml:space="preserve"> </w:t>
      </w:r>
    </w:p>
    <w:p w14:paraId="6E713A4B">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620" w:lineRule="exact"/>
        <w:rPr>
          <w:rFonts w:hint="default" w:ascii="Times New Roman" w:hAnsi="Times New Roman" w:eastAsia="仿宋_GB2312" w:cs="Times New Roman"/>
          <w:color w:val="0000FF"/>
          <w:sz w:val="32"/>
          <w:szCs w:val="32"/>
        </w:rPr>
      </w:pPr>
      <w:r>
        <w:rPr>
          <w:rFonts w:hint="eastAsia" w:eastAsia="仿宋_GB2312" w:cs="Times New Roman"/>
          <w:bCs/>
          <w:sz w:val="32"/>
          <w:szCs w:val="32"/>
          <w:lang w:val="en-US" w:eastAsia="zh-CN"/>
        </w:rPr>
        <w:t xml:space="preserve">    一、</w:t>
      </w:r>
      <w:r>
        <w:rPr>
          <w:rFonts w:hint="default" w:ascii="Times New Roman" w:hAnsi="Times New Roman" w:eastAsia="仿宋_GB2312" w:cs="Times New Roman"/>
          <w:bCs/>
          <w:sz w:val="32"/>
          <w:szCs w:val="32"/>
          <w:lang w:eastAsia="zh-CN"/>
        </w:rPr>
        <w:t>为</w:t>
      </w:r>
      <w:r>
        <w:rPr>
          <w:rFonts w:hint="eastAsia" w:ascii="Times New Roman" w:hAnsi="Times New Roman" w:eastAsia="仿宋_GB2312" w:cs="Times New Roman"/>
          <w:bCs/>
          <w:sz w:val="32"/>
          <w:szCs w:val="32"/>
          <w:lang w:eastAsia="zh-CN"/>
        </w:rPr>
        <w:t>了</w:t>
      </w:r>
      <w:r>
        <w:rPr>
          <w:rFonts w:hint="default" w:ascii="Times New Roman" w:hAnsi="Times New Roman" w:eastAsia="仿宋_GB2312" w:cs="Times New Roman"/>
          <w:bCs/>
          <w:sz w:val="32"/>
          <w:szCs w:val="32"/>
          <w:lang w:eastAsia="zh-CN"/>
        </w:rPr>
        <w:t>消除</w:t>
      </w:r>
      <w:r>
        <w:rPr>
          <w:rFonts w:hint="default" w:ascii="Times New Roman" w:hAnsi="Times New Roman" w:eastAsia="仿宋_GB2312" w:cs="Times New Roman"/>
          <w:sz w:val="32"/>
          <w:szCs w:val="32"/>
          <w:lang w:eastAsia="zh-CN"/>
        </w:rPr>
        <w:t>安全隐患，</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公司拟</w:t>
      </w:r>
      <w:r>
        <w:rPr>
          <w:rFonts w:hint="default" w:ascii="Times New Roman" w:hAnsi="Times New Roman" w:eastAsia="仿宋_GB2312" w:cs="Times New Roman"/>
          <w:sz w:val="32"/>
          <w:szCs w:val="32"/>
          <w:lang w:eastAsia="zh-CN"/>
        </w:rPr>
        <w:t>对</w:t>
      </w:r>
      <w:r>
        <w:rPr>
          <w:rFonts w:hint="eastAsia" w:eastAsia="仿宋_GB2312" w:cs="Times New Roman"/>
          <w:sz w:val="32"/>
          <w:szCs w:val="32"/>
          <w:lang w:eastAsia="zh-CN"/>
        </w:rPr>
        <w:t>滨海新区大港油田第一采油厂</w:t>
      </w:r>
      <w:r>
        <w:rPr>
          <w:rFonts w:hint="eastAsia" w:eastAsia="仿宋_GB2312"/>
          <w:sz w:val="32"/>
          <w:szCs w:val="32"/>
          <w:lang w:eastAsia="zh-CN"/>
        </w:rPr>
        <w:t>秦滨高速及津石高速高风险区域管道</w:t>
      </w:r>
      <w:r>
        <w:rPr>
          <w:rFonts w:hint="default" w:ascii="Times New Roman" w:hAnsi="Times New Roman" w:eastAsia="仿宋_GB2312" w:cs="Times New Roman"/>
          <w:sz w:val="32"/>
          <w:szCs w:val="32"/>
          <w:lang w:eastAsia="zh-CN"/>
        </w:rPr>
        <w:t>沿原路</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eastAsia="zh-CN"/>
        </w:rPr>
        <w:t>进行更换</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更换后的</w:t>
      </w:r>
      <w:r>
        <w:rPr>
          <w:rFonts w:hint="default" w:ascii="Times New Roman" w:hAnsi="Times New Roman" w:eastAsia="仿宋_GB2312" w:cs="Times New Roman"/>
          <w:sz w:val="32"/>
          <w:szCs w:val="32"/>
          <w:lang w:val="en-US" w:eastAsia="zh-CN"/>
        </w:rPr>
        <w:t>管道</w:t>
      </w:r>
      <w:r>
        <w:rPr>
          <w:rFonts w:hint="eastAsia" w:eastAsia="仿宋_GB2312" w:cs="Times New Roman"/>
          <w:sz w:val="32"/>
          <w:szCs w:val="32"/>
          <w:lang w:val="en-US" w:eastAsia="zh-CN"/>
        </w:rPr>
        <w:t>输送介质、输送规模、管径、输送</w:t>
      </w:r>
      <w:r>
        <w:rPr>
          <w:rFonts w:hint="default" w:ascii="Times New Roman" w:hAnsi="Times New Roman" w:eastAsia="仿宋_GB2312" w:cs="Times New Roman"/>
          <w:sz w:val="32"/>
          <w:szCs w:val="32"/>
          <w:lang w:val="en-US" w:eastAsia="zh-CN"/>
        </w:rPr>
        <w:t>压力</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均与</w:t>
      </w:r>
      <w:r>
        <w:rPr>
          <w:rFonts w:hint="eastAsia" w:eastAsia="仿宋_GB2312" w:cs="Times New Roman"/>
          <w:sz w:val="32"/>
          <w:szCs w:val="32"/>
          <w:lang w:val="en-US" w:eastAsia="zh-CN"/>
        </w:rPr>
        <w:t>现有管道保持</w:t>
      </w:r>
      <w:r>
        <w:rPr>
          <w:rFonts w:hint="default"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eastAsia="zh-CN"/>
        </w:rPr>
        <w:t>建设内容为</w:t>
      </w:r>
      <w:r>
        <w:rPr>
          <w:rFonts w:hint="eastAsia" w:eastAsia="仿宋_GB2312" w:cs="Times New Roman"/>
          <w:sz w:val="32"/>
          <w:szCs w:val="32"/>
          <w:lang w:eastAsia="zh-CN"/>
        </w:rPr>
        <w:t>更换总长度</w:t>
      </w:r>
      <w:r>
        <w:rPr>
          <w:rFonts w:hint="eastAsia" w:eastAsia="仿宋_GB2312" w:cs="Times New Roman"/>
          <w:sz w:val="32"/>
          <w:szCs w:val="32"/>
          <w:lang w:val="en-US" w:eastAsia="zh-CN"/>
        </w:rPr>
        <w:t>1.659km的集油管道，共涉及9条管道（10段，其中1条涉及2段），包括唐家河油4#集输管道（更换长度87m）、唐家河联合站至港东联合站油水外输管道（更换长度87m）、唐二注水站供水管道（更换长度87m）涵洞穿越津石高速段；唐家河油4-3#集输管道（更换长度240m）、唐二注水站供水管道（更换长度240m）、港东油7#集油管道（更换长度61m）、一区东东一#注聚管道（更换长度61m）、一区东东供水管道（更换长度61m）、港东油6-1#集油管道（更换长度85m）涵洞穿越秦滨高速；港东油7-1#集油管道（更换长度650m）秦滨高速沿线直埋段。</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w:t>
      </w:r>
      <w:r>
        <w:rPr>
          <w:rFonts w:hint="eastAsia" w:eastAsia="仿宋_GB2312" w:cs="Times New Roman"/>
          <w:bCs/>
          <w:sz w:val="32"/>
          <w:szCs w:val="32"/>
          <w:lang w:val="en-US" w:eastAsia="zh-CN"/>
        </w:rPr>
        <w:t>216.17</w:t>
      </w:r>
      <w:r>
        <w:rPr>
          <w:rFonts w:hint="default" w:ascii="Times New Roman" w:hAnsi="Times New Roman" w:eastAsia="仿宋_GB2312" w:cs="Times New Roman"/>
          <w:bCs/>
          <w:sz w:val="32"/>
          <w:szCs w:val="32"/>
        </w:rPr>
        <w:t>万元，环保投资</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万元，约占投资总额的</w:t>
      </w:r>
      <w:r>
        <w:rPr>
          <w:rFonts w:hint="eastAsia" w:eastAsia="仿宋_GB2312" w:cs="Times New Roman"/>
          <w:bCs/>
          <w:sz w:val="32"/>
          <w:szCs w:val="32"/>
          <w:lang w:val="en-US" w:eastAsia="zh-CN"/>
        </w:rPr>
        <w:t>3.7</w:t>
      </w:r>
      <w:r>
        <w:rPr>
          <w:rFonts w:hint="default" w:ascii="Times New Roman" w:hAnsi="Times New Roman" w:eastAsia="仿宋_GB2312" w:cs="Times New Roman"/>
          <w:bCs/>
          <w:sz w:val="32"/>
          <w:szCs w:val="32"/>
        </w:rPr>
        <w:t>%。</w:t>
      </w:r>
    </w:p>
    <w:p w14:paraId="7228A6E4">
      <w:pPr>
        <w:keepNext w:val="0"/>
        <w:keepLines w:val="0"/>
        <w:widowControl/>
        <w:numPr>
          <w:ilvl w:val="0"/>
          <w:numId w:val="0"/>
        </w:numPr>
        <w:suppressLineNumbers w:val="0"/>
        <w:ind w:firstLine="640" w:firstLineChars="200"/>
        <w:jc w:val="both"/>
        <w:rPr>
          <w:rFonts w:eastAsia="仿宋_GB2312"/>
          <w:sz w:val="32"/>
          <w:szCs w:val="32"/>
        </w:rPr>
      </w:pPr>
      <w:r>
        <w:rPr>
          <w:rFonts w:hint="eastAsia" w:eastAsia="仿宋_GB2312" w:cs="Times New Roman"/>
          <w:sz w:val="32"/>
          <w:szCs w:val="32"/>
          <w:lang w:val="en-US" w:eastAsia="zh-CN"/>
        </w:rPr>
        <w:t>2024年12月20日</w:t>
      </w:r>
      <w:r>
        <w:rPr>
          <w:rFonts w:hint="default" w:ascii="Times New Roman" w:hAnsi="Times New Roman" w:eastAsia="仿宋_GB2312" w:cs="Times New Roman"/>
          <w:sz w:val="32"/>
          <w:szCs w:val="32"/>
          <w:lang w:val="en-US" w:eastAsia="zh-CN"/>
        </w:rPr>
        <w:t>至</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日，我局将</w:t>
      </w:r>
      <w:r>
        <w:rPr>
          <w:rFonts w:hint="eastAsia" w:eastAsia="仿宋_GB2312" w:cs="Times New Roman"/>
          <w:sz w:val="32"/>
          <w:szCs w:val="32"/>
          <w:lang w:val="en-US" w:eastAsia="zh-CN"/>
        </w:rPr>
        <w:t>该项目环评报告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w:t>
      </w:r>
      <w:r>
        <w:rPr>
          <w:rFonts w:hint="default" w:eastAsia="仿宋_GB2312" w:cs="Times New Roman"/>
          <w:sz w:val="32"/>
          <w:szCs w:val="32"/>
          <w:lang w:val="en-US" w:eastAsia="zh-CN"/>
        </w:rPr>
        <w:t>示；12月30日至2025年1月6日</w:t>
      </w:r>
      <w:r>
        <w:rPr>
          <w:rFonts w:hint="eastAsia" w:eastAsia="仿宋_GB2312" w:cs="Times New Roman"/>
          <w:sz w:val="32"/>
          <w:szCs w:val="32"/>
          <w:lang w:val="en-US" w:eastAsia="zh-CN"/>
        </w:rPr>
        <w:t>，</w:t>
      </w:r>
      <w:r>
        <w:rPr>
          <w:rFonts w:hint="default" w:eastAsia="仿宋_GB2312" w:cs="Times New Roman"/>
          <w:sz w:val="32"/>
          <w:szCs w:val="32"/>
          <w:lang w:val="en-US" w:eastAsia="zh-CN"/>
        </w:rPr>
        <w:t>将</w:t>
      </w:r>
      <w:r>
        <w:rPr>
          <w:rFonts w:hint="eastAsia" w:eastAsia="仿宋_GB2312" w:cs="Times New Roman"/>
          <w:sz w:val="32"/>
          <w:szCs w:val="32"/>
          <w:lang w:val="en-US" w:eastAsia="zh-CN"/>
        </w:rPr>
        <w:t>该项目</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eastAsia="仿宋_GB2312"/>
          <w:sz w:val="32"/>
          <w:szCs w:val="32"/>
        </w:rPr>
        <w:t>根据公众反馈意见情况及环评报告结论，在严格落实环评报告所提出的各项污染防治措施、确保各类污染物稳定达标的前提下，项目具备环境可行性。</w:t>
      </w:r>
    </w:p>
    <w:p w14:paraId="524084D5">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项目施工及</w:t>
      </w:r>
      <w:r>
        <w:rPr>
          <w:rFonts w:hint="eastAsia" w:ascii="仿宋_GB2312" w:hAnsi="仿宋_GB2312" w:eastAsia="仿宋_GB2312" w:cs="仿宋_GB2312"/>
          <w:sz w:val="32"/>
          <w:szCs w:val="32"/>
        </w:rPr>
        <w:t>运行过程中，</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02BE91B0">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eastAsia" w:eastAsia="仿宋_GB2312"/>
          <w:bCs/>
          <w:sz w:val="32"/>
          <w:szCs w:val="32"/>
          <w:lang w:val="en-US" w:eastAsia="zh-CN"/>
        </w:rPr>
        <w:t>施工期间应严格执行国家相关环保法律法规和落实环评报告中提出的污染防范措施：</w:t>
      </w:r>
      <w:r>
        <w:rPr>
          <w:rFonts w:hint="default" w:ascii="Times New Roman" w:hAnsi="Times New Roman" w:eastAsia="仿宋_GB2312" w:cs="Times New Roman"/>
          <w:color w:val="auto"/>
          <w:sz w:val="32"/>
          <w:szCs w:val="32"/>
        </w:rPr>
        <w:t>减少扬尘</w:t>
      </w:r>
      <w:r>
        <w:rPr>
          <w:rFonts w:hint="default" w:ascii="Times New Roman" w:hAnsi="Times New Roman" w:eastAsia="仿宋_GB2312" w:cs="Times New Roman"/>
          <w:color w:val="auto"/>
          <w:sz w:val="32"/>
          <w:szCs w:val="32"/>
          <w:lang w:eastAsia="zh-CN"/>
        </w:rPr>
        <w:t>、焊接烟尘</w:t>
      </w:r>
      <w:r>
        <w:rPr>
          <w:rFonts w:hint="eastAsia"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对周边环境造成</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废弃泥浆及建筑垃圾妥善处置；旧</w:t>
      </w:r>
      <w:r>
        <w:rPr>
          <w:rFonts w:hint="default" w:ascii="Times New Roman" w:hAnsi="Times New Roman" w:eastAsia="仿宋_GB2312" w:cs="Times New Roman"/>
          <w:color w:val="auto"/>
          <w:sz w:val="32"/>
          <w:szCs w:val="32"/>
        </w:rPr>
        <w:t>管道</w:t>
      </w:r>
      <w:r>
        <w:rPr>
          <w:rFonts w:hint="eastAsia" w:eastAsia="仿宋_GB2312" w:cs="Times New Roman"/>
          <w:color w:val="auto"/>
          <w:sz w:val="32"/>
          <w:szCs w:val="32"/>
          <w:lang w:eastAsia="zh-CN"/>
        </w:rPr>
        <w:t>清洗废水及新管道</w:t>
      </w:r>
      <w:r>
        <w:rPr>
          <w:rFonts w:hint="default" w:eastAsia="仿宋_GB2312" w:cs="Times New Roman"/>
          <w:color w:val="auto"/>
          <w:sz w:val="32"/>
          <w:szCs w:val="32"/>
          <w:lang w:eastAsia="zh-CN"/>
        </w:rPr>
        <w:t>试压废水</w:t>
      </w:r>
      <w:r>
        <w:rPr>
          <w:rFonts w:hint="eastAsia" w:eastAsia="仿宋_GB2312" w:cs="Times New Roman"/>
          <w:color w:val="auto"/>
          <w:sz w:val="32"/>
          <w:szCs w:val="32"/>
          <w:lang w:eastAsia="zh-CN"/>
        </w:rPr>
        <w:t>等收集后拉运至港东联合站处理</w:t>
      </w:r>
      <w:r>
        <w:rPr>
          <w:rFonts w:hint="eastAsia" w:eastAsia="仿宋_GB2312" w:cs="Times New Roman"/>
          <w:color w:val="auto"/>
          <w:sz w:val="32"/>
          <w:szCs w:val="32"/>
          <w:lang w:val="en-US" w:eastAsia="zh-CN"/>
        </w:rPr>
        <w:t>，</w:t>
      </w:r>
      <w:r>
        <w:rPr>
          <w:rFonts w:hint="default" w:eastAsia="仿宋_GB2312" w:cs="Times New Roman"/>
          <w:color w:val="auto"/>
          <w:sz w:val="32"/>
          <w:szCs w:val="32"/>
          <w:lang w:val="en-US" w:eastAsia="zh-CN"/>
        </w:rPr>
        <w:t>严禁排入周边水</w:t>
      </w:r>
      <w:r>
        <w:rPr>
          <w:rFonts w:hint="default" w:ascii="Times New Roman" w:hAnsi="Times New Roman" w:eastAsia="仿宋_GB2312" w:cs="Times New Roman"/>
          <w:color w:val="auto"/>
          <w:sz w:val="32"/>
          <w:szCs w:val="32"/>
          <w:lang w:val="en-US" w:eastAsia="zh-CN"/>
        </w:rPr>
        <w:t>体</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合理安排施工时间，</w:t>
      </w:r>
      <w:r>
        <w:rPr>
          <w:rFonts w:hint="eastAsia" w:ascii="Times New Roman" w:hAnsi="Times New Roman" w:eastAsia="仿宋_GB2312" w:cs="Times New Roman"/>
          <w:color w:val="auto"/>
          <w:sz w:val="32"/>
          <w:szCs w:val="32"/>
          <w:lang w:eastAsia="zh-CN"/>
        </w:rPr>
        <w:t>选用低噪声设备，</w:t>
      </w:r>
      <w:r>
        <w:rPr>
          <w:rFonts w:hint="eastAsia" w:eastAsia="仿宋_GB2312" w:cs="Times New Roman"/>
          <w:color w:val="auto"/>
          <w:sz w:val="32"/>
          <w:szCs w:val="32"/>
          <w:lang w:val="en-US" w:eastAsia="zh-CN"/>
        </w:rPr>
        <w:t>并采取隔声减振措施</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废焊接材料</w:t>
      </w:r>
      <w:r>
        <w:rPr>
          <w:rFonts w:hint="eastAsia" w:ascii="Times New Roman" w:hAnsi="Times New Roman" w:eastAsia="仿宋_GB2312" w:cs="Times New Roman"/>
          <w:bCs/>
          <w:sz w:val="32"/>
          <w:szCs w:val="32"/>
          <w:lang w:val="en-US" w:eastAsia="zh-CN"/>
        </w:rPr>
        <w:t>按照</w:t>
      </w:r>
      <w:r>
        <w:rPr>
          <w:rFonts w:hint="default" w:ascii="Times New Roman" w:hAnsi="Times New Roman" w:eastAsia="仿宋_GB2312" w:cs="Times New Roman"/>
          <w:bCs/>
          <w:sz w:val="32"/>
          <w:szCs w:val="32"/>
        </w:rPr>
        <w:t>一般工业固体废物</w:t>
      </w:r>
      <w:r>
        <w:rPr>
          <w:rFonts w:hint="eastAsia" w:ascii="Times New Roman" w:hAnsi="Times New Roman" w:eastAsia="仿宋_GB2312" w:cs="Times New Roman"/>
          <w:bCs/>
          <w:sz w:val="32"/>
          <w:szCs w:val="32"/>
          <w:lang w:val="en-US" w:eastAsia="zh-CN"/>
        </w:rPr>
        <w:t>进行</w:t>
      </w:r>
      <w:r>
        <w:rPr>
          <w:rFonts w:hint="default" w:ascii="Times New Roman" w:hAnsi="Times New Roman" w:eastAsia="仿宋_GB2312" w:cs="Times New Roman"/>
          <w:bCs/>
          <w:sz w:val="32"/>
          <w:szCs w:val="32"/>
        </w:rPr>
        <w:t>处置，废旧管道</w:t>
      </w:r>
      <w:r>
        <w:rPr>
          <w:rFonts w:hint="eastAsia" w:eastAsia="仿宋_GB2312" w:cs="Times New Roman"/>
          <w:bCs/>
          <w:sz w:val="32"/>
          <w:szCs w:val="32"/>
          <w:lang w:eastAsia="zh-CN"/>
        </w:rPr>
        <w:t>及临时管道</w:t>
      </w:r>
      <w:r>
        <w:rPr>
          <w:rFonts w:hint="default" w:ascii="Times New Roman" w:hAnsi="Times New Roman" w:eastAsia="仿宋_GB2312" w:cs="Times New Roman"/>
          <w:bCs/>
          <w:sz w:val="32"/>
          <w:szCs w:val="32"/>
          <w:lang w:eastAsia="zh-CN"/>
        </w:rPr>
        <w:t>由回收部门</w:t>
      </w:r>
      <w:r>
        <w:rPr>
          <w:rFonts w:hint="default" w:ascii="Times New Roman" w:hAnsi="Times New Roman" w:eastAsia="仿宋_GB2312" w:cs="Times New Roman"/>
          <w:bCs/>
          <w:sz w:val="32"/>
          <w:szCs w:val="32"/>
        </w:rPr>
        <w:t>回收</w:t>
      </w:r>
      <w:r>
        <w:rPr>
          <w:rFonts w:hint="eastAsia" w:eastAsia="仿宋_GB2312" w:cs="Times New Roman"/>
          <w:bCs/>
          <w:sz w:val="32"/>
          <w:szCs w:val="32"/>
          <w:lang w:eastAsia="zh-CN"/>
        </w:rPr>
        <w:t>，含油防渗布等危险废物</w:t>
      </w:r>
      <w:r>
        <w:rPr>
          <w:rFonts w:hint="default" w:ascii="Times New Roman" w:hAnsi="Times New Roman" w:eastAsia="仿宋_GB2312" w:cs="Times New Roman"/>
          <w:bCs/>
          <w:sz w:val="32"/>
          <w:szCs w:val="32"/>
        </w:rPr>
        <w:t>交由有资质的单位进行</w:t>
      </w:r>
      <w:r>
        <w:rPr>
          <w:rFonts w:hint="default" w:ascii="Times New Roman" w:hAnsi="Times New Roman" w:eastAsia="仿宋_GB2312" w:cs="Times New Roman"/>
          <w:bCs/>
          <w:color w:val="auto"/>
          <w:sz w:val="32"/>
          <w:szCs w:val="32"/>
        </w:rPr>
        <w:t>处置</w:t>
      </w:r>
      <w:r>
        <w:rPr>
          <w:rFonts w:hint="default" w:ascii="Times New Roman" w:hAnsi="Times New Roman" w:eastAsia="仿宋_GB2312" w:cs="Times New Roman"/>
          <w:color w:val="auto"/>
          <w:sz w:val="32"/>
          <w:szCs w:val="32"/>
          <w:lang w:val="en-US" w:eastAsia="zh-CN"/>
        </w:rPr>
        <w:t>；探伤</w:t>
      </w:r>
      <w:r>
        <w:rPr>
          <w:rFonts w:hint="default" w:ascii="Times New Roman" w:hAnsi="Times New Roman" w:eastAsia="仿宋_GB2312" w:cs="Times New Roman"/>
          <w:bCs/>
          <w:sz w:val="32"/>
          <w:szCs w:val="32"/>
          <w:lang w:val="en-US" w:eastAsia="zh-CN"/>
        </w:rPr>
        <w:t>作业须委托具有相关生产许可资质的单位进行，探伤设施须满足国家规范的相关防护措施。</w:t>
      </w:r>
    </w:p>
    <w:p w14:paraId="706FC70C">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lang w:val="en-US" w:eastAsia="zh-CN"/>
        </w:rPr>
      </w:pPr>
      <w:r>
        <w:rPr>
          <w:rFonts w:hint="eastAsia" w:eastAsia="仿宋_GB2312" w:cs="Times New Roman"/>
          <w:bCs/>
          <w:sz w:val="32"/>
          <w:szCs w:val="32"/>
          <w:lang w:val="en-US" w:eastAsia="zh-CN"/>
        </w:rPr>
        <w:t>2.施工过程中要采取全面的生态保护和水土保持措施；</w:t>
      </w:r>
      <w:r>
        <w:rPr>
          <w:rFonts w:hint="eastAsia" w:eastAsia="仿宋_GB2312" w:cs="Times New Roman"/>
          <w:sz w:val="32"/>
          <w:szCs w:val="32"/>
          <w:lang w:eastAsia="zh-CN"/>
        </w:rPr>
        <w:t>施工结束后及时做好生态恢复</w:t>
      </w:r>
      <w:r>
        <w:rPr>
          <w:rFonts w:hint="eastAsia" w:eastAsia="仿宋_GB2312" w:cs="Times New Roman"/>
          <w:bCs/>
          <w:sz w:val="32"/>
          <w:szCs w:val="32"/>
          <w:lang w:val="en-US" w:eastAsia="zh-CN"/>
        </w:rPr>
        <w:t>。</w:t>
      </w:r>
    </w:p>
    <w:p w14:paraId="7DF034C8">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3.施工前应做好相邻其他管道的勘查工作，并采取合理避让措施，防止因彼此影响造成次生环境事故。</w:t>
      </w:r>
    </w:p>
    <w:p w14:paraId="14A9C713">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4.</w:t>
      </w:r>
      <w:r>
        <w:rPr>
          <w:rFonts w:hint="eastAsia" w:ascii="Times New Roman" w:hAnsi="Times New Roman" w:eastAsia="仿宋_GB2312" w:cs="Times New Roman"/>
          <w:bCs/>
          <w:color w:val="auto"/>
          <w:sz w:val="32"/>
          <w:szCs w:val="32"/>
          <w:lang w:val="en-US" w:eastAsia="zh-CN"/>
        </w:rPr>
        <w:t>根据“源头防控、分区防治、污</w:t>
      </w:r>
      <w:r>
        <w:rPr>
          <w:rFonts w:hint="eastAsia" w:ascii="仿宋_GB2312" w:hAnsi="仿宋_GB2312" w:eastAsia="仿宋_GB2312" w:cs="仿宋_GB2312"/>
          <w:sz w:val="32"/>
          <w:szCs w:val="32"/>
          <w:lang w:val="en-US" w:eastAsia="zh-CN"/>
        </w:rPr>
        <w:t>染监控、应急响应”的原则，按照报告</w:t>
      </w:r>
      <w:r>
        <w:rPr>
          <w:rFonts w:hint="eastAsia" w:ascii="仿宋_GB2312" w:hAnsi="仿宋_GB2312" w:cs="仿宋_GB2312"/>
          <w:sz w:val="32"/>
          <w:szCs w:val="32"/>
          <w:lang w:val="en-US" w:eastAsia="zh-CN"/>
        </w:rPr>
        <w:t>表</w:t>
      </w:r>
      <w:r>
        <w:rPr>
          <w:rFonts w:hint="eastAsia" w:ascii="仿宋_GB2312" w:hAnsi="仿宋_GB2312" w:eastAsia="仿宋_GB2312" w:cs="仿宋_GB2312"/>
          <w:sz w:val="32"/>
          <w:szCs w:val="32"/>
          <w:lang w:val="en-US" w:eastAsia="zh-CN"/>
        </w:rPr>
        <w:t>要求采取严格的防渗、防泄漏、防腐蚀等措施，严禁对地下水、土壤产生影响。</w:t>
      </w:r>
    </w:p>
    <w:p w14:paraId="2752679E">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sz w:val="32"/>
          <w:szCs w:val="32"/>
          <w:lang w:val="en-US" w:eastAsia="zh-CN"/>
        </w:rPr>
        <w:t>强化各项</w:t>
      </w:r>
      <w:r>
        <w:rPr>
          <w:rFonts w:hint="default" w:ascii="Times New Roman" w:hAnsi="Times New Roman" w:eastAsia="仿宋_GB2312" w:cs="Times New Roman"/>
          <w:color w:val="auto"/>
          <w:sz w:val="32"/>
          <w:szCs w:val="32"/>
          <w:lang w:val="en-US" w:eastAsia="zh-CN"/>
        </w:rPr>
        <w:t>环境风险防范措施，</w:t>
      </w:r>
      <w:r>
        <w:rPr>
          <w:rFonts w:hint="eastAsia" w:eastAsia="仿宋_GB2312" w:cs="Times New Roman"/>
          <w:color w:val="auto"/>
          <w:sz w:val="32"/>
          <w:szCs w:val="32"/>
          <w:lang w:val="en-US" w:eastAsia="zh-CN"/>
        </w:rPr>
        <w:t>严格落实</w:t>
      </w:r>
      <w:r>
        <w:rPr>
          <w:rFonts w:hint="default" w:ascii="Times New Roman" w:hAnsi="Times New Roman" w:eastAsia="仿宋_GB2312" w:cs="Times New Roman"/>
          <w:bCs/>
          <w:color w:val="auto"/>
          <w:sz w:val="32"/>
          <w:szCs w:val="32"/>
          <w:lang w:val="en-US" w:eastAsia="zh-CN"/>
        </w:rPr>
        <w:t>突发环</w:t>
      </w:r>
      <w:r>
        <w:rPr>
          <w:rFonts w:hint="default" w:ascii="Times New Roman" w:hAnsi="Times New Roman" w:eastAsia="仿宋_GB2312" w:cs="Times New Roman"/>
          <w:color w:val="auto"/>
          <w:sz w:val="32"/>
          <w:szCs w:val="32"/>
          <w:lang w:val="en-US" w:eastAsia="zh-CN"/>
        </w:rPr>
        <w:t>境风险应急预案</w:t>
      </w:r>
      <w:r>
        <w:rPr>
          <w:rFonts w:hint="eastAsia" w:eastAsia="仿宋_GB2312" w:cs="Times New Roman"/>
          <w:color w:val="auto"/>
          <w:sz w:val="32"/>
          <w:szCs w:val="32"/>
          <w:lang w:val="en-US" w:eastAsia="zh-CN"/>
        </w:rPr>
        <w:t>，并做好</w:t>
      </w:r>
      <w:r>
        <w:rPr>
          <w:rFonts w:hint="default" w:ascii="Times New Roman" w:hAnsi="Times New Roman" w:eastAsia="仿宋_GB2312" w:cs="Times New Roman"/>
          <w:color w:val="auto"/>
          <w:sz w:val="32"/>
          <w:szCs w:val="32"/>
          <w:lang w:val="en-US" w:eastAsia="zh-CN"/>
        </w:rPr>
        <w:t>风险防范措施</w:t>
      </w:r>
      <w:r>
        <w:rPr>
          <w:rFonts w:hint="eastAsia" w:eastAsia="仿宋_GB2312" w:cs="Times New Roman"/>
          <w:color w:val="auto"/>
          <w:sz w:val="32"/>
          <w:szCs w:val="32"/>
          <w:lang w:val="en-US" w:eastAsia="zh-CN"/>
        </w:rPr>
        <w:t>及应急处理措施的合理衔接工作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提高应对突发环境风险事故的处理能力，有效防范环境风险</w:t>
      </w:r>
      <w:r>
        <w:rPr>
          <w:rFonts w:hint="eastAsia" w:ascii="Times New Roman" w:hAnsi="Times New Roman" w:eastAsia="仿宋_GB2312" w:cs="Times New Roman"/>
          <w:bCs/>
          <w:color w:val="auto"/>
          <w:sz w:val="32"/>
          <w:szCs w:val="32"/>
          <w:lang w:val="en-US" w:eastAsia="zh-CN"/>
        </w:rPr>
        <w:t>，杜绝发生环境事故和次生环境事故。</w:t>
      </w:r>
    </w:p>
    <w:p w14:paraId="198789F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outlineLvl w:val="9"/>
        <w:rPr>
          <w:rFonts w:hint="default"/>
          <w:lang w:val="en-US" w:eastAsia="zh-CN"/>
        </w:rPr>
      </w:pPr>
      <w:r>
        <w:rPr>
          <w:rFonts w:hint="eastAsia" w:ascii="仿宋_GB2312" w:hAnsi="仿宋_GB2312" w:eastAsia="仿宋_GB2312" w:cs="仿宋_GB2312"/>
          <w:sz w:val="32"/>
          <w:szCs w:val="32"/>
          <w:lang w:val="en-US" w:eastAsia="zh-CN"/>
        </w:rPr>
        <w:t>6.落实报告表提出的环境监测计划，定期开展监测工作。</w:t>
      </w:r>
    </w:p>
    <w:p w14:paraId="1097BAC4">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w:t>
      </w:r>
      <w:r>
        <w:rPr>
          <w:rFonts w:eastAsia="仿宋_GB2312"/>
          <w:sz w:val="32"/>
          <w:szCs w:val="32"/>
        </w:rPr>
        <w:t>建成后不新增</w:t>
      </w:r>
      <w:r>
        <w:rPr>
          <w:rFonts w:hint="eastAsia" w:eastAsia="仿宋_GB2312"/>
          <w:sz w:val="32"/>
          <w:szCs w:val="32"/>
          <w:lang w:val="en-US" w:eastAsia="zh-CN"/>
        </w:rPr>
        <w:t>主要</w:t>
      </w:r>
      <w:r>
        <w:rPr>
          <w:rFonts w:eastAsia="仿宋_GB2312"/>
          <w:sz w:val="32"/>
          <w:szCs w:val="32"/>
        </w:rPr>
        <w:t>污染物排放总量。</w:t>
      </w:r>
    </w:p>
    <w:p w14:paraId="7F7D4013">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eastAsia="仿宋_GB2312" w:cs="Times New Roman"/>
          <w:sz w:val="32"/>
          <w:szCs w:val="32"/>
          <w:lang w:val="en-US" w:eastAsia="zh-CN"/>
        </w:rPr>
        <w:t>生产；</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4AFB1D56">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五</w:t>
      </w:r>
      <w:r>
        <w:rPr>
          <w:rFonts w:hint="eastAsia" w:eastAsia="仿宋_GB2312"/>
          <w:sz w:val="32"/>
          <w:szCs w:val="32"/>
        </w:rPr>
        <w:t>、</w:t>
      </w:r>
      <w:r>
        <w:rPr>
          <w:rFonts w:hint="eastAsia" w:eastAsia="仿宋_GB2312"/>
          <w:sz w:val="32"/>
          <w:szCs w:val="32"/>
          <w:lang w:eastAsia="zh-CN"/>
        </w:rPr>
        <w:t>项目</w:t>
      </w:r>
      <w:r>
        <w:rPr>
          <w:rFonts w:hint="eastAsia" w:eastAsia="仿宋_GB2312"/>
          <w:sz w:val="32"/>
          <w:szCs w:val="32"/>
        </w:rPr>
        <w:t>应执行以下标准：</w:t>
      </w:r>
    </w:p>
    <w:p w14:paraId="4662161F">
      <w:pPr>
        <w:spacing w:line="360" w:lineRule="auto"/>
        <w:ind w:firstLine="640" w:firstLineChars="200"/>
        <w:textAlignment w:val="baseline"/>
        <w:rPr>
          <w:rFonts w:eastAsia="仿宋_GB2312"/>
          <w:sz w:val="32"/>
          <w:szCs w:val="32"/>
        </w:rPr>
      </w:pPr>
      <w:r>
        <w:rPr>
          <w:rFonts w:hint="eastAsia" w:eastAsia="仿宋_GB2312"/>
          <w:sz w:val="32"/>
          <w:szCs w:val="32"/>
          <w:lang w:val="en-US" w:eastAsia="zh-CN"/>
        </w:rPr>
        <w:t>1.</w:t>
      </w:r>
      <w:r>
        <w:rPr>
          <w:rFonts w:eastAsia="仿宋_GB2312"/>
          <w:sz w:val="32"/>
          <w:szCs w:val="32"/>
        </w:rPr>
        <w:t>《环境空气质量标准》（GB3095-2012）二级；</w:t>
      </w:r>
    </w:p>
    <w:p w14:paraId="46249D12">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《地下水质量标准》（</w:t>
      </w:r>
      <w:r>
        <w:rPr>
          <w:rFonts w:hint="eastAsia" w:ascii="仿宋_GB2312" w:hAnsi="仿宋_GB2312" w:eastAsia="仿宋_GB2312" w:cs="仿宋_GB2312"/>
          <w:kern w:val="2"/>
          <w:sz w:val="32"/>
          <w:szCs w:val="32"/>
          <w:lang w:val="en-US" w:eastAsia="zh-CN" w:bidi="ar-SA"/>
        </w:rPr>
        <w:t>GB/T14848-2017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、《地表水环境质量标准》（</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3838</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1F3D9BF5">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《土壤环境质量 建设用地土壤污染风险管控标准（试行）》（</w:t>
      </w:r>
      <w:r>
        <w:rPr>
          <w:rFonts w:hint="eastAsia" w:ascii="仿宋_GB2312" w:hAnsi="仿宋_GB2312" w:eastAsia="仿宋_GB2312" w:cs="仿宋_GB2312"/>
          <w:kern w:val="2"/>
          <w:sz w:val="32"/>
          <w:szCs w:val="32"/>
          <w:lang w:val="en-US" w:eastAsia="zh-CN" w:bidi="ar-SA"/>
        </w:rPr>
        <w:t>GB36600-2018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、《土壤环境质量</w:t>
      </w:r>
      <w:r>
        <w:rPr>
          <w:rFonts w:hint="eastAsia" w:ascii="仿宋_GB2312" w:hAnsi="仿宋_GB2312" w:eastAsia="仿宋_GB2312" w:cs="仿宋_GB2312"/>
          <w:color w:val="auto"/>
          <w:sz w:val="32"/>
          <w:szCs w:val="32"/>
          <w:highlight w:val="none"/>
          <w:lang w:val="en-US" w:eastAsia="zh-CN"/>
        </w:rPr>
        <w:t xml:space="preserve"> 建设用地土壤污染风险管控标准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DB12/1311-2024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p>
    <w:p w14:paraId="61D04F55">
      <w:pPr>
        <w:spacing w:line="360" w:lineRule="auto"/>
        <w:ind w:firstLine="640" w:firstLineChars="200"/>
        <w:textAlignment w:val="baseline"/>
        <w:rPr>
          <w:rFonts w:hint="eastAsia" w:eastAsia="仿宋_GB2312"/>
          <w:sz w:val="32"/>
          <w:szCs w:val="32"/>
        </w:rPr>
      </w:pPr>
      <w:r>
        <w:rPr>
          <w:rFonts w:hint="eastAsia" w:eastAsia="仿宋_GB2312"/>
          <w:sz w:val="32"/>
          <w:szCs w:val="32"/>
          <w:lang w:val="en-US" w:eastAsia="zh-CN"/>
        </w:rPr>
        <w:t>3.</w:t>
      </w:r>
      <w:r>
        <w:rPr>
          <w:rFonts w:eastAsia="仿宋_GB2312"/>
          <w:sz w:val="32"/>
          <w:szCs w:val="32"/>
        </w:rPr>
        <w:t>《声环境质量标准》（GB3096-2008）</w:t>
      </w:r>
      <w:r>
        <w:rPr>
          <w:rFonts w:hint="eastAsia" w:eastAsia="仿宋_GB2312"/>
          <w:sz w:val="32"/>
          <w:szCs w:val="32"/>
          <w:lang w:val="en-US" w:eastAsia="zh-CN"/>
        </w:rPr>
        <w:t>3类，4a类</w:t>
      </w:r>
      <w:r>
        <w:rPr>
          <w:rFonts w:hint="eastAsia" w:eastAsia="仿宋_GB2312"/>
          <w:sz w:val="32"/>
          <w:szCs w:val="32"/>
        </w:rPr>
        <w:t>；</w:t>
      </w:r>
    </w:p>
    <w:p w14:paraId="7A76A270">
      <w:pPr>
        <w:pageBreakBefore w:val="0"/>
        <w:widowControl w:val="0"/>
        <w:kinsoku/>
        <w:wordWrap/>
        <w:overflowPunct/>
        <w:topLinePunct w:val="0"/>
        <w:autoSpaceDE/>
        <w:autoSpaceDN/>
        <w:bidi w:val="0"/>
        <w:snapToGrid/>
        <w:spacing w:line="600" w:lineRule="exact"/>
        <w:ind w:firstLine="630"/>
        <w:textAlignment w:val="baseline"/>
        <w:rPr>
          <w:rFonts w:hint="eastAsia" w:eastAsia="仿宋_GB2312"/>
          <w:sz w:val="32"/>
          <w:szCs w:val="32"/>
          <w:lang w:val="en-US" w:eastAsia="zh-CN"/>
        </w:rPr>
      </w:pPr>
      <w:r>
        <w:rPr>
          <w:rFonts w:hint="eastAsia" w:eastAsia="仿宋_GB2312"/>
          <w:sz w:val="32"/>
          <w:szCs w:val="32"/>
          <w:lang w:val="en-US" w:eastAsia="zh-CN"/>
        </w:rPr>
        <w:t>4.</w:t>
      </w:r>
      <w:r>
        <w:rPr>
          <w:rFonts w:eastAsia="仿宋_GB2312"/>
          <w:sz w:val="32"/>
          <w:szCs w:val="32"/>
        </w:rPr>
        <w:t>《建筑施工场界环境噪声排放标准》（GB12523-2011）</w:t>
      </w:r>
      <w:r>
        <w:rPr>
          <w:rFonts w:hint="eastAsia" w:eastAsia="仿宋_GB2312"/>
          <w:sz w:val="32"/>
          <w:szCs w:val="32"/>
          <w:lang w:val="en-US" w:eastAsia="zh-CN"/>
        </w:rPr>
        <w:t>;</w:t>
      </w:r>
    </w:p>
    <w:p w14:paraId="2F539CE4">
      <w:pPr>
        <w:pageBreakBefore w:val="0"/>
        <w:widowControl w:val="0"/>
        <w:kinsoku/>
        <w:wordWrap/>
        <w:overflowPunct/>
        <w:topLinePunct w:val="0"/>
        <w:autoSpaceDE/>
        <w:autoSpaceDN/>
        <w:bidi w:val="0"/>
        <w:snapToGrid/>
        <w:spacing w:line="600" w:lineRule="exact"/>
        <w:ind w:firstLine="630"/>
        <w:textAlignment w:val="baseline"/>
        <w:rPr>
          <w:rFonts w:hint="eastAsia" w:eastAsia="仿宋_GB2312"/>
          <w:sz w:val="32"/>
          <w:szCs w:val="32"/>
          <w:lang w:eastAsia="zh-CN"/>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sz w:val="32"/>
          <w:szCs w:val="32"/>
          <w:lang w:eastAsia="zh-CN"/>
        </w:rPr>
        <w:t>。</w:t>
      </w:r>
    </w:p>
    <w:p w14:paraId="64A168D8">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14:paraId="0CF6F9FF">
      <w:pPr>
        <w:pStyle w:val="2"/>
        <w:rPr>
          <w:rFonts w:hint="eastAsia" w:eastAsia="仿宋_GB2312"/>
          <w:sz w:val="32"/>
          <w:szCs w:val="32"/>
        </w:rPr>
      </w:pPr>
    </w:p>
    <w:p w14:paraId="6D72076B">
      <w:pPr>
        <w:rPr>
          <w:rFonts w:hint="eastAsia"/>
        </w:rPr>
      </w:pPr>
    </w:p>
    <w:p w14:paraId="4ECB30CE"/>
    <w:p w14:paraId="5515D594">
      <w:pPr>
        <w:pageBreakBefore w:val="0"/>
        <w:widowControl w:val="0"/>
        <w:kinsoku/>
        <w:wordWrap w:val="0"/>
        <w:overflowPunct/>
        <w:topLinePunct w:val="0"/>
        <w:autoSpaceDE/>
        <w:autoSpaceDN/>
        <w:bidi w:val="0"/>
        <w:snapToGrid/>
        <w:spacing w:line="360" w:lineRule="auto"/>
        <w:ind w:firstLine="3200" w:firstLineChars="1000"/>
        <w:jc w:val="center"/>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14:paraId="601E7164">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14:paraId="5831DA25">
      <w:pPr>
        <w:rPr>
          <w:rFonts w:hint="eastAsia"/>
          <w:lang w:val="en-US" w:eastAsia="zh-CN"/>
        </w:rPr>
      </w:pPr>
    </w:p>
    <w:p w14:paraId="54E1DA36">
      <w:pPr>
        <w:pStyle w:val="2"/>
        <w:rPr>
          <w:rFonts w:hint="eastAsia"/>
          <w:lang w:val="en-US" w:eastAsia="zh-CN"/>
        </w:rPr>
      </w:pPr>
    </w:p>
    <w:p w14:paraId="0DB10E78">
      <w:pPr>
        <w:rPr>
          <w:rFonts w:hint="eastAsia"/>
          <w:lang w:val="en-US" w:eastAsia="zh-CN"/>
        </w:rPr>
      </w:pPr>
    </w:p>
    <w:p w14:paraId="39539916">
      <w:pPr>
        <w:pStyle w:val="2"/>
        <w:rPr>
          <w:rFonts w:hint="eastAsia"/>
          <w:lang w:val="en-US" w:eastAsia="zh-CN"/>
        </w:rPr>
      </w:pPr>
    </w:p>
    <w:p w14:paraId="504B9C44">
      <w:pPr>
        <w:rPr>
          <w:rFonts w:hint="eastAsia"/>
          <w:lang w:val="en-US" w:eastAsia="zh-CN"/>
        </w:rPr>
      </w:pPr>
    </w:p>
    <w:p w14:paraId="3245C8ED">
      <w:pPr>
        <w:pStyle w:val="2"/>
        <w:rPr>
          <w:rFonts w:hint="eastAsia"/>
          <w:lang w:val="en-US" w:eastAsia="zh-CN"/>
        </w:rPr>
      </w:pPr>
    </w:p>
    <w:p w14:paraId="6E00A7F8">
      <w:pPr>
        <w:pStyle w:val="2"/>
        <w:rPr>
          <w:rFonts w:hint="eastAsia"/>
          <w:lang w:val="en-US" w:eastAsia="zh-CN"/>
        </w:rPr>
      </w:pPr>
    </w:p>
    <w:p w14:paraId="51A0D9B7">
      <w:pPr>
        <w:rPr>
          <w:rFonts w:hint="eastAsia"/>
          <w:lang w:val="en-US" w:eastAsia="zh-CN"/>
        </w:rPr>
      </w:pPr>
    </w:p>
    <w:p w14:paraId="2A197A8C">
      <w:pPr>
        <w:pStyle w:val="2"/>
        <w:rPr>
          <w:rFonts w:hint="eastAsia"/>
          <w:lang w:val="en-US" w:eastAsia="zh-CN"/>
        </w:rPr>
      </w:pPr>
    </w:p>
    <w:p w14:paraId="5642BF2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3D9402D">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14:paraId="6E729F90">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14:paraId="6AAC6F4F">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0DD">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BDD">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28F9FC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7E6F26"/>
    <w:rsid w:val="01CF4B91"/>
    <w:rsid w:val="022C4AC3"/>
    <w:rsid w:val="027F104C"/>
    <w:rsid w:val="029F0F02"/>
    <w:rsid w:val="03171546"/>
    <w:rsid w:val="031C0752"/>
    <w:rsid w:val="03EA0063"/>
    <w:rsid w:val="04970BC1"/>
    <w:rsid w:val="04AD0797"/>
    <w:rsid w:val="051540DF"/>
    <w:rsid w:val="055D49DC"/>
    <w:rsid w:val="06DA075B"/>
    <w:rsid w:val="079075EF"/>
    <w:rsid w:val="07CF6683"/>
    <w:rsid w:val="08A27CFE"/>
    <w:rsid w:val="08CC7EF8"/>
    <w:rsid w:val="08CE0793"/>
    <w:rsid w:val="0A616717"/>
    <w:rsid w:val="0A7B58F8"/>
    <w:rsid w:val="0A993ECD"/>
    <w:rsid w:val="0AFD432E"/>
    <w:rsid w:val="0B0D5A13"/>
    <w:rsid w:val="0B6D14B7"/>
    <w:rsid w:val="0BBB7DA4"/>
    <w:rsid w:val="0BBF6171"/>
    <w:rsid w:val="0C2E1BB9"/>
    <w:rsid w:val="0C7B1B6D"/>
    <w:rsid w:val="0CD111DE"/>
    <w:rsid w:val="0D777966"/>
    <w:rsid w:val="0D885FD0"/>
    <w:rsid w:val="0DA17C0A"/>
    <w:rsid w:val="0DA30438"/>
    <w:rsid w:val="0E491814"/>
    <w:rsid w:val="0EA6106F"/>
    <w:rsid w:val="0F15100D"/>
    <w:rsid w:val="0FA859B9"/>
    <w:rsid w:val="0FAF67EF"/>
    <w:rsid w:val="0FBF42EC"/>
    <w:rsid w:val="106A6FF4"/>
    <w:rsid w:val="11D91F41"/>
    <w:rsid w:val="126758C9"/>
    <w:rsid w:val="13510475"/>
    <w:rsid w:val="135F4C81"/>
    <w:rsid w:val="138327ED"/>
    <w:rsid w:val="13836188"/>
    <w:rsid w:val="13884674"/>
    <w:rsid w:val="14367871"/>
    <w:rsid w:val="149802DC"/>
    <w:rsid w:val="14BC1DE8"/>
    <w:rsid w:val="1518002A"/>
    <w:rsid w:val="1534372C"/>
    <w:rsid w:val="15794D99"/>
    <w:rsid w:val="15C76F90"/>
    <w:rsid w:val="15DE40BE"/>
    <w:rsid w:val="16420B4B"/>
    <w:rsid w:val="17977B39"/>
    <w:rsid w:val="17B46048"/>
    <w:rsid w:val="180E7B33"/>
    <w:rsid w:val="184D3DB0"/>
    <w:rsid w:val="18865F91"/>
    <w:rsid w:val="18B55B11"/>
    <w:rsid w:val="19827E91"/>
    <w:rsid w:val="19B95B36"/>
    <w:rsid w:val="19C23FA1"/>
    <w:rsid w:val="1ADD0573"/>
    <w:rsid w:val="1B164FFC"/>
    <w:rsid w:val="1B287C5C"/>
    <w:rsid w:val="1BCC17F9"/>
    <w:rsid w:val="1BEC41F5"/>
    <w:rsid w:val="1D992813"/>
    <w:rsid w:val="1DF3687A"/>
    <w:rsid w:val="1E742A13"/>
    <w:rsid w:val="1E8563FC"/>
    <w:rsid w:val="1E860E96"/>
    <w:rsid w:val="1F3259C6"/>
    <w:rsid w:val="1F643E9E"/>
    <w:rsid w:val="1FE81CE3"/>
    <w:rsid w:val="21793149"/>
    <w:rsid w:val="217E0DA2"/>
    <w:rsid w:val="21B30864"/>
    <w:rsid w:val="21D74401"/>
    <w:rsid w:val="220D79D5"/>
    <w:rsid w:val="228D1920"/>
    <w:rsid w:val="22B14836"/>
    <w:rsid w:val="235F1C43"/>
    <w:rsid w:val="23A83C63"/>
    <w:rsid w:val="246E51C2"/>
    <w:rsid w:val="24977834"/>
    <w:rsid w:val="251F2C93"/>
    <w:rsid w:val="25930AA1"/>
    <w:rsid w:val="25B77F28"/>
    <w:rsid w:val="261C2711"/>
    <w:rsid w:val="2629371B"/>
    <w:rsid w:val="26333F5B"/>
    <w:rsid w:val="264C63DC"/>
    <w:rsid w:val="27673E35"/>
    <w:rsid w:val="27927955"/>
    <w:rsid w:val="27DF6D5B"/>
    <w:rsid w:val="28A50490"/>
    <w:rsid w:val="290416FB"/>
    <w:rsid w:val="2A540769"/>
    <w:rsid w:val="2A8E570B"/>
    <w:rsid w:val="2AA44376"/>
    <w:rsid w:val="2B454D2A"/>
    <w:rsid w:val="2B5A4C61"/>
    <w:rsid w:val="2B892A8E"/>
    <w:rsid w:val="2CDE6947"/>
    <w:rsid w:val="2D1C121E"/>
    <w:rsid w:val="2DA85F50"/>
    <w:rsid w:val="2DE85F13"/>
    <w:rsid w:val="2E0E42AB"/>
    <w:rsid w:val="2E727497"/>
    <w:rsid w:val="2EC823DC"/>
    <w:rsid w:val="2FC339E9"/>
    <w:rsid w:val="31140AC3"/>
    <w:rsid w:val="315B3926"/>
    <w:rsid w:val="317438B8"/>
    <w:rsid w:val="31C439B0"/>
    <w:rsid w:val="31D3618D"/>
    <w:rsid w:val="31E47D3B"/>
    <w:rsid w:val="31F61C3D"/>
    <w:rsid w:val="32E0346C"/>
    <w:rsid w:val="330A7AD7"/>
    <w:rsid w:val="334140DE"/>
    <w:rsid w:val="33937C59"/>
    <w:rsid w:val="33CC3E98"/>
    <w:rsid w:val="33F00D0E"/>
    <w:rsid w:val="3489363D"/>
    <w:rsid w:val="34D7709C"/>
    <w:rsid w:val="34DD613F"/>
    <w:rsid w:val="35134CB4"/>
    <w:rsid w:val="3536679E"/>
    <w:rsid w:val="36335DA3"/>
    <w:rsid w:val="3678062E"/>
    <w:rsid w:val="36CA1CEB"/>
    <w:rsid w:val="36FB7479"/>
    <w:rsid w:val="37FD68A6"/>
    <w:rsid w:val="387B329C"/>
    <w:rsid w:val="393B4C3B"/>
    <w:rsid w:val="393E494F"/>
    <w:rsid w:val="3982447C"/>
    <w:rsid w:val="39851AEA"/>
    <w:rsid w:val="399A2EB5"/>
    <w:rsid w:val="3B9F7077"/>
    <w:rsid w:val="3BFBE9DD"/>
    <w:rsid w:val="3C0B33E8"/>
    <w:rsid w:val="3C491AF5"/>
    <w:rsid w:val="3CB16EAA"/>
    <w:rsid w:val="3D1B42E3"/>
    <w:rsid w:val="3D8D3BBB"/>
    <w:rsid w:val="3DB85996"/>
    <w:rsid w:val="3DFB9E8A"/>
    <w:rsid w:val="3E053D44"/>
    <w:rsid w:val="3E402F1B"/>
    <w:rsid w:val="3E5E1696"/>
    <w:rsid w:val="3E6B05F3"/>
    <w:rsid w:val="3E6DB9E0"/>
    <w:rsid w:val="3ECB1DCB"/>
    <w:rsid w:val="3ECF4F30"/>
    <w:rsid w:val="3F8C5D8F"/>
    <w:rsid w:val="3FB554E3"/>
    <w:rsid w:val="3FFDA9E2"/>
    <w:rsid w:val="419A35AC"/>
    <w:rsid w:val="41BA15F9"/>
    <w:rsid w:val="420A2FF8"/>
    <w:rsid w:val="42195A6A"/>
    <w:rsid w:val="42305D37"/>
    <w:rsid w:val="423E4456"/>
    <w:rsid w:val="43AE49AE"/>
    <w:rsid w:val="449B45DA"/>
    <w:rsid w:val="44A4730E"/>
    <w:rsid w:val="44F21C4B"/>
    <w:rsid w:val="45AD6951"/>
    <w:rsid w:val="463C00DC"/>
    <w:rsid w:val="46964440"/>
    <w:rsid w:val="47221287"/>
    <w:rsid w:val="47845592"/>
    <w:rsid w:val="483B3434"/>
    <w:rsid w:val="485477BF"/>
    <w:rsid w:val="485D46A3"/>
    <w:rsid w:val="48B431C7"/>
    <w:rsid w:val="48C10798"/>
    <w:rsid w:val="48E249BB"/>
    <w:rsid w:val="48E41E9D"/>
    <w:rsid w:val="49A0744E"/>
    <w:rsid w:val="4A13595D"/>
    <w:rsid w:val="4AE83298"/>
    <w:rsid w:val="4B106CD2"/>
    <w:rsid w:val="4C804ECE"/>
    <w:rsid w:val="4C895B69"/>
    <w:rsid w:val="4C8F6EBF"/>
    <w:rsid w:val="4D7A256B"/>
    <w:rsid w:val="4E8945D0"/>
    <w:rsid w:val="4EA51583"/>
    <w:rsid w:val="4F016F2E"/>
    <w:rsid w:val="4F9E2FE4"/>
    <w:rsid w:val="5015592D"/>
    <w:rsid w:val="502925FF"/>
    <w:rsid w:val="50C54397"/>
    <w:rsid w:val="50D413E4"/>
    <w:rsid w:val="517F3AB5"/>
    <w:rsid w:val="51872AF4"/>
    <w:rsid w:val="51A67184"/>
    <w:rsid w:val="51A96376"/>
    <w:rsid w:val="51DD250C"/>
    <w:rsid w:val="51F37B94"/>
    <w:rsid w:val="51FF48CF"/>
    <w:rsid w:val="5261193E"/>
    <w:rsid w:val="52B31C66"/>
    <w:rsid w:val="53333171"/>
    <w:rsid w:val="53334AA9"/>
    <w:rsid w:val="537F0991"/>
    <w:rsid w:val="541A70D3"/>
    <w:rsid w:val="549A53C8"/>
    <w:rsid w:val="55EA59D7"/>
    <w:rsid w:val="56112734"/>
    <w:rsid w:val="56266096"/>
    <w:rsid w:val="562D4626"/>
    <w:rsid w:val="567E48CA"/>
    <w:rsid w:val="56F00E14"/>
    <w:rsid w:val="572E2C59"/>
    <w:rsid w:val="5750757E"/>
    <w:rsid w:val="57997CF2"/>
    <w:rsid w:val="57C41920"/>
    <w:rsid w:val="57FF75EE"/>
    <w:rsid w:val="581A10A7"/>
    <w:rsid w:val="585F254A"/>
    <w:rsid w:val="59465D4C"/>
    <w:rsid w:val="59A10B54"/>
    <w:rsid w:val="5A9211A0"/>
    <w:rsid w:val="5ADD6D22"/>
    <w:rsid w:val="5BB400A8"/>
    <w:rsid w:val="5BF87ACE"/>
    <w:rsid w:val="5C026973"/>
    <w:rsid w:val="5CE11D93"/>
    <w:rsid w:val="5D1A2FE5"/>
    <w:rsid w:val="5DB84FA9"/>
    <w:rsid w:val="5DFBB8A9"/>
    <w:rsid w:val="5E0A1E6D"/>
    <w:rsid w:val="5E2A6CFE"/>
    <w:rsid w:val="5E826290"/>
    <w:rsid w:val="5F681031"/>
    <w:rsid w:val="5F9A6485"/>
    <w:rsid w:val="60F11A9E"/>
    <w:rsid w:val="619F7DE0"/>
    <w:rsid w:val="61AB56BE"/>
    <w:rsid w:val="61C13103"/>
    <w:rsid w:val="61F11BB7"/>
    <w:rsid w:val="6204686E"/>
    <w:rsid w:val="628A6975"/>
    <w:rsid w:val="62F9157D"/>
    <w:rsid w:val="632B573B"/>
    <w:rsid w:val="639D09CB"/>
    <w:rsid w:val="63A519FA"/>
    <w:rsid w:val="63C42AC6"/>
    <w:rsid w:val="64184EA5"/>
    <w:rsid w:val="64EB5531"/>
    <w:rsid w:val="661971CB"/>
    <w:rsid w:val="661F34CF"/>
    <w:rsid w:val="6646288C"/>
    <w:rsid w:val="668D04BB"/>
    <w:rsid w:val="66EA76BB"/>
    <w:rsid w:val="67777536"/>
    <w:rsid w:val="68297EB5"/>
    <w:rsid w:val="686A0B4A"/>
    <w:rsid w:val="68CD0632"/>
    <w:rsid w:val="6A667059"/>
    <w:rsid w:val="6A68020F"/>
    <w:rsid w:val="6B283627"/>
    <w:rsid w:val="6B622B93"/>
    <w:rsid w:val="6CBE07C5"/>
    <w:rsid w:val="6CD80DA2"/>
    <w:rsid w:val="6CE124F8"/>
    <w:rsid w:val="6DAA54AF"/>
    <w:rsid w:val="6DB45008"/>
    <w:rsid w:val="6E054B12"/>
    <w:rsid w:val="6E3343F3"/>
    <w:rsid w:val="6EFC61DE"/>
    <w:rsid w:val="6F2605FE"/>
    <w:rsid w:val="6F4020DE"/>
    <w:rsid w:val="6FF3011B"/>
    <w:rsid w:val="6FF944CB"/>
    <w:rsid w:val="6FFEDC89"/>
    <w:rsid w:val="706E47D2"/>
    <w:rsid w:val="71B60E95"/>
    <w:rsid w:val="71F065BA"/>
    <w:rsid w:val="71F78021"/>
    <w:rsid w:val="720B3587"/>
    <w:rsid w:val="729829D6"/>
    <w:rsid w:val="73067FA2"/>
    <w:rsid w:val="73337CF4"/>
    <w:rsid w:val="734D635D"/>
    <w:rsid w:val="735D6A13"/>
    <w:rsid w:val="73935D89"/>
    <w:rsid w:val="73C20023"/>
    <w:rsid w:val="73C90575"/>
    <w:rsid w:val="74235FBB"/>
    <w:rsid w:val="7458541A"/>
    <w:rsid w:val="7479752E"/>
    <w:rsid w:val="747B5FDA"/>
    <w:rsid w:val="748618C1"/>
    <w:rsid w:val="74A26258"/>
    <w:rsid w:val="74CD0A03"/>
    <w:rsid w:val="753FB3D7"/>
    <w:rsid w:val="755A7F2B"/>
    <w:rsid w:val="75C173E7"/>
    <w:rsid w:val="75F63195"/>
    <w:rsid w:val="76A77C9C"/>
    <w:rsid w:val="76D4578A"/>
    <w:rsid w:val="770574A0"/>
    <w:rsid w:val="77455BC1"/>
    <w:rsid w:val="77B96B73"/>
    <w:rsid w:val="77BD31CC"/>
    <w:rsid w:val="77DF0639"/>
    <w:rsid w:val="77FE8FAC"/>
    <w:rsid w:val="78241FCC"/>
    <w:rsid w:val="787E122A"/>
    <w:rsid w:val="78B56081"/>
    <w:rsid w:val="79E70B47"/>
    <w:rsid w:val="7A134250"/>
    <w:rsid w:val="7A4D29BF"/>
    <w:rsid w:val="7A5E4DBC"/>
    <w:rsid w:val="7B287F25"/>
    <w:rsid w:val="7B8739E8"/>
    <w:rsid w:val="7C3E25F6"/>
    <w:rsid w:val="7C4F638F"/>
    <w:rsid w:val="7D123060"/>
    <w:rsid w:val="7DFF9BBF"/>
    <w:rsid w:val="7E2350C7"/>
    <w:rsid w:val="7E6C59D9"/>
    <w:rsid w:val="7EBB5053"/>
    <w:rsid w:val="7FBB508F"/>
    <w:rsid w:val="7FD231E4"/>
    <w:rsid w:val="AB8FC51D"/>
    <w:rsid w:val="B7FC8A41"/>
    <w:rsid w:val="DFF779CE"/>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样式 样式 样式 四号 左侧:  1.53 厘米 + 首行缩进:  2 字符 + 居中 左侧:  2 字符 首行缩进:  2..."/>
    <w:basedOn w:val="12"/>
    <w:qFormat/>
    <w:uiPriority w:val="0"/>
    <w:pPr>
      <w:snapToGrid w:val="0"/>
      <w:spacing w:line="500" w:lineRule="exact"/>
      <w:jc w:val="center"/>
    </w:pPr>
    <w:rPr>
      <w:rFonts w:ascii="Times New Roman" w:hAnsi="Times New Roman"/>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4">
    <w:name w:val="页脚 Char"/>
    <w:basedOn w:val="8"/>
    <w:link w:val="5"/>
    <w:qFormat/>
    <w:uiPriority w:val="0"/>
    <w:rPr>
      <w:kern w:val="2"/>
      <w:sz w:val="18"/>
      <w:szCs w:val="18"/>
    </w:rPr>
  </w:style>
  <w:style w:type="character" w:customStyle="1" w:styleId="15">
    <w:name w:val="页眉 Char"/>
    <w:basedOn w:val="8"/>
    <w:link w:val="6"/>
    <w:qFormat/>
    <w:uiPriority w:val="0"/>
    <w:rPr>
      <w:kern w:val="2"/>
      <w:sz w:val="18"/>
      <w:szCs w:val="18"/>
    </w:rPr>
  </w:style>
  <w:style w:type="paragraph" w:customStyle="1" w:styleId="16">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Words>
  <Characters>39</Characters>
  <Lines>1</Lines>
  <Paragraphs>1</Paragraphs>
  <TotalTime>0</TotalTime>
  <ScaleCrop>false</ScaleCrop>
  <LinksUpToDate>false</LinksUpToDate>
  <CharactersWithSpaces>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2020-01-22T06:59:00Z</cp:lastPrinted>
  <dcterms:modified xsi:type="dcterms:W3CDTF">2025-01-10T07:01:54Z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3B557C2A88BC4209BBDF49C93F4E822E_13</vt:lpwstr>
  </property>
</Properties>
</file>