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EBDF3">
      <w:pPr>
        <w:rPr>
          <w:rFonts w:ascii="仿宋_GB2312" w:eastAsia="仿宋_GB2312"/>
          <w:sz w:val="32"/>
          <w:szCs w:val="32"/>
        </w:rPr>
      </w:pPr>
    </w:p>
    <w:p w14:paraId="45C80750">
      <w:pPr>
        <w:pStyle w:val="2"/>
      </w:pPr>
    </w:p>
    <w:p w14:paraId="2C237E44">
      <w:pPr>
        <w:rPr>
          <w:rFonts w:ascii="仿宋_GB2312" w:eastAsia="仿宋_GB2312"/>
          <w:sz w:val="32"/>
          <w:szCs w:val="32"/>
        </w:rPr>
      </w:pPr>
    </w:p>
    <w:p w14:paraId="4E029B24">
      <w:pPr>
        <w:spacing w:line="360" w:lineRule="auto"/>
        <w:jc w:val="center"/>
        <w:rPr>
          <w:rFonts w:ascii="仿宋_GB2312" w:eastAsia="仿宋_GB2312"/>
          <w:sz w:val="32"/>
          <w:szCs w:val="32"/>
        </w:rPr>
      </w:pPr>
    </w:p>
    <w:p w14:paraId="49DAF678">
      <w:pPr>
        <w:jc w:val="center"/>
        <w:rPr>
          <w:rFonts w:eastAsia="仿宋_GB2312"/>
          <w:sz w:val="32"/>
          <w:szCs w:val="32"/>
        </w:rPr>
      </w:pPr>
    </w:p>
    <w:p w14:paraId="6F1458C4">
      <w:pPr>
        <w:jc w:val="center"/>
        <w:rPr>
          <w:rFonts w:ascii="仿宋_GB2312" w:eastAsia="仿宋_GB2312"/>
          <w:sz w:val="32"/>
          <w:szCs w:val="32"/>
        </w:rPr>
      </w:pPr>
      <w:r>
        <w:rPr>
          <w:rFonts w:eastAsia="仿宋_GB2312"/>
          <w:sz w:val="32"/>
          <w:szCs w:val="32"/>
        </w:rPr>
        <w:t>津滨审批二室准〔20</w:t>
      </w:r>
      <w:r>
        <w:rPr>
          <w:rFonts w:hint="eastAsia" w:eastAsia="仿宋_GB2312"/>
          <w:sz w:val="32"/>
          <w:szCs w:val="32"/>
        </w:rPr>
        <w:t>2</w:t>
      </w:r>
      <w:r>
        <w:rPr>
          <w:rFonts w:hint="eastAsia" w:eastAsia="仿宋_GB2312"/>
          <w:sz w:val="32"/>
          <w:szCs w:val="32"/>
          <w:lang w:val="en-US" w:eastAsia="zh-CN"/>
        </w:rPr>
        <w:t>5</w:t>
      </w:r>
      <w:r>
        <w:rPr>
          <w:rFonts w:eastAsia="仿宋_GB2312"/>
          <w:sz w:val="32"/>
          <w:szCs w:val="32"/>
        </w:rPr>
        <w:t>〕</w:t>
      </w:r>
      <w:r>
        <w:rPr>
          <w:rFonts w:hint="eastAsia" w:eastAsia="仿宋_GB2312"/>
          <w:sz w:val="32"/>
          <w:szCs w:val="32"/>
          <w:lang w:val="en-US" w:eastAsia="zh-CN"/>
        </w:rPr>
        <w:t>3</w:t>
      </w:r>
      <w:r>
        <w:rPr>
          <w:rFonts w:eastAsia="仿宋_GB2312"/>
          <w:sz w:val="32"/>
          <w:szCs w:val="32"/>
        </w:rPr>
        <w:t>号</w:t>
      </w:r>
    </w:p>
    <w:p w14:paraId="2C69E02E">
      <w:pPr>
        <w:rPr>
          <w:rFonts w:ascii="仿宋_GB2312" w:eastAsia="仿宋_GB2312"/>
          <w:sz w:val="32"/>
          <w:szCs w:val="32"/>
        </w:rPr>
      </w:pPr>
      <w:bookmarkStart w:id="0" w:name="_GoBack"/>
      <w:bookmarkEnd w:id="0"/>
    </w:p>
    <w:p w14:paraId="1F50A8E8">
      <w:pPr>
        <w:pStyle w:val="12"/>
        <w:spacing w:line="580" w:lineRule="exact"/>
        <w:jc w:val="center"/>
        <w:rPr>
          <w:rFonts w:eastAsia="仿宋_GB2312"/>
          <w:kern w:val="2"/>
          <w:sz w:val="32"/>
          <w:szCs w:val="32"/>
        </w:rPr>
      </w:pPr>
    </w:p>
    <w:p w14:paraId="35A6AD61">
      <w:pPr>
        <w:pStyle w:val="12"/>
        <w:spacing w:line="660" w:lineRule="exact"/>
        <w:jc w:val="center"/>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关于中石化工</w:t>
      </w:r>
      <w:r>
        <w:rPr>
          <w:rFonts w:hint="eastAsia" w:ascii="方正小标宋简体" w:hAnsi="宋体" w:eastAsia="方正小标宋简体"/>
          <w:color w:val="000000"/>
          <w:sz w:val="44"/>
          <w:lang w:val="en-US" w:eastAsia="zh-CN"/>
        </w:rPr>
        <w:t>加油</w:t>
      </w:r>
      <w:r>
        <w:rPr>
          <w:rFonts w:hint="eastAsia" w:ascii="方正小标宋简体" w:hAnsi="宋体" w:eastAsia="方正小标宋简体"/>
          <w:color w:val="000000"/>
          <w:sz w:val="44"/>
        </w:rPr>
        <w:t>站甲醇站改造</w:t>
      </w:r>
    </w:p>
    <w:p w14:paraId="57090C73">
      <w:pPr>
        <w:pStyle w:val="12"/>
        <w:spacing w:line="66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rPr>
        <w:t>环境影响报告表</w:t>
      </w:r>
      <w:r>
        <w:rPr>
          <w:rFonts w:ascii="方正小标宋简体" w:hAnsi="宋体" w:eastAsia="方正小标宋简体"/>
          <w:color w:val="000000"/>
          <w:sz w:val="44"/>
        </w:rPr>
        <w:t>的批复</w:t>
      </w:r>
    </w:p>
    <w:p w14:paraId="353F3722">
      <w:pPr>
        <w:spacing w:line="0" w:lineRule="atLeast"/>
        <w:jc w:val="center"/>
        <w:rPr>
          <w:rFonts w:ascii="宋体" w:hAnsi="宋体"/>
          <w:b/>
          <w:color w:val="000000"/>
          <w:szCs w:val="21"/>
        </w:rPr>
      </w:pPr>
    </w:p>
    <w:p w14:paraId="78096C69">
      <w:pPr>
        <w:pStyle w:val="12"/>
        <w:spacing w:line="600" w:lineRule="exact"/>
        <w:jc w:val="both"/>
        <w:rPr>
          <w:rFonts w:eastAsia="仿宋_GB2312"/>
          <w:color w:val="auto"/>
          <w:sz w:val="32"/>
          <w:szCs w:val="32"/>
        </w:rPr>
      </w:pPr>
      <w:r>
        <w:rPr>
          <w:rFonts w:hint="eastAsia" w:eastAsia="仿宋_GB2312"/>
          <w:color w:val="auto"/>
          <w:sz w:val="32"/>
          <w:szCs w:val="32"/>
          <w:lang w:val="en"/>
        </w:rPr>
        <w:t>天津中石化工物流有限公司</w:t>
      </w:r>
      <w:r>
        <w:rPr>
          <w:rFonts w:hint="eastAsia" w:eastAsia="仿宋_GB2312"/>
          <w:color w:val="auto"/>
          <w:sz w:val="32"/>
          <w:szCs w:val="32"/>
        </w:rPr>
        <w:t>：</w:t>
      </w:r>
    </w:p>
    <w:p w14:paraId="2FAA68C1">
      <w:pPr>
        <w:spacing w:line="600" w:lineRule="exact"/>
        <w:ind w:firstLine="640" w:firstLineChars="200"/>
        <w:textAlignment w:val="baseline"/>
        <w:rPr>
          <w:rFonts w:eastAsia="仿宋_GB2312"/>
          <w:sz w:val="32"/>
          <w:szCs w:val="32"/>
        </w:rPr>
      </w:pPr>
      <w:r>
        <w:rPr>
          <w:rFonts w:hint="eastAsia" w:eastAsia="仿宋_GB2312"/>
          <w:sz w:val="32"/>
          <w:szCs w:val="32"/>
        </w:rPr>
        <w:t>你公司</w:t>
      </w:r>
      <w:r>
        <w:rPr>
          <w:rFonts w:eastAsia="仿宋_GB2312"/>
          <w:sz w:val="32"/>
          <w:szCs w:val="32"/>
        </w:rPr>
        <w:t>呈</w:t>
      </w:r>
      <w:r>
        <w:rPr>
          <w:rFonts w:hint="eastAsia" w:eastAsia="仿宋_GB2312"/>
          <w:sz w:val="32"/>
          <w:szCs w:val="32"/>
        </w:rPr>
        <w:t>报的《中石化工</w:t>
      </w:r>
      <w:r>
        <w:rPr>
          <w:rFonts w:hint="eastAsia" w:eastAsia="仿宋_GB2312"/>
          <w:sz w:val="32"/>
          <w:szCs w:val="32"/>
          <w:lang w:val="en-US" w:eastAsia="zh-CN"/>
        </w:rPr>
        <w:t>加油</w:t>
      </w:r>
      <w:r>
        <w:rPr>
          <w:rFonts w:hint="eastAsia" w:eastAsia="仿宋_GB2312"/>
          <w:sz w:val="32"/>
          <w:szCs w:val="32"/>
        </w:rPr>
        <w:t>站甲醇站改造</w:t>
      </w:r>
      <w:r>
        <w:rPr>
          <w:rFonts w:hint="eastAsia" w:eastAsia="仿宋_GB2312"/>
          <w:sz w:val="32"/>
          <w:szCs w:val="32"/>
          <w:lang w:val="en"/>
        </w:rPr>
        <w:t>环境影响</w:t>
      </w:r>
      <w:r>
        <w:rPr>
          <w:rFonts w:hint="eastAsia" w:eastAsia="仿宋_GB2312"/>
          <w:sz w:val="32"/>
          <w:szCs w:val="32"/>
          <w:lang w:val="en" w:eastAsia="zh-CN"/>
        </w:rPr>
        <w:t>评价</w:t>
      </w:r>
      <w:r>
        <w:rPr>
          <w:rFonts w:hint="eastAsia" w:eastAsia="仿宋_GB2312"/>
          <w:sz w:val="32"/>
          <w:szCs w:val="32"/>
          <w:lang w:val="en"/>
        </w:rPr>
        <w:t>报告表</w:t>
      </w:r>
      <w:r>
        <w:rPr>
          <w:rFonts w:hint="eastAsia" w:eastAsia="仿宋_GB2312"/>
          <w:sz w:val="32"/>
          <w:szCs w:val="32"/>
        </w:rPr>
        <w:t>的</w:t>
      </w:r>
      <w:r>
        <w:rPr>
          <w:rFonts w:hint="eastAsia" w:eastAsia="仿宋_GB2312"/>
          <w:sz w:val="32"/>
          <w:szCs w:val="32"/>
          <w:lang w:eastAsia="zh-CN"/>
        </w:rPr>
        <w:t>申请</w:t>
      </w:r>
      <w:r>
        <w:rPr>
          <w:rFonts w:hint="eastAsia" w:eastAsia="仿宋_GB2312"/>
          <w:sz w:val="32"/>
          <w:szCs w:val="32"/>
        </w:rPr>
        <w:t>》、天津朗晴环境工程有限公司</w:t>
      </w:r>
      <w:r>
        <w:rPr>
          <w:rFonts w:hint="eastAsia" w:eastAsia="仿宋_GB2312"/>
          <w:sz w:val="32"/>
          <w:szCs w:val="32"/>
          <w:lang w:eastAsia="zh-CN"/>
        </w:rPr>
        <w:t>编制的</w:t>
      </w:r>
      <w:r>
        <w:rPr>
          <w:rFonts w:hint="eastAsia" w:eastAsia="仿宋_GB2312"/>
          <w:sz w:val="32"/>
          <w:szCs w:val="32"/>
        </w:rPr>
        <w:t>《中石化工</w:t>
      </w:r>
      <w:r>
        <w:rPr>
          <w:rFonts w:hint="eastAsia" w:eastAsia="仿宋_GB2312"/>
          <w:sz w:val="32"/>
          <w:szCs w:val="32"/>
          <w:lang w:val="en-US" w:eastAsia="zh-CN"/>
        </w:rPr>
        <w:t>加油</w:t>
      </w:r>
      <w:r>
        <w:rPr>
          <w:rFonts w:hint="eastAsia" w:eastAsia="仿宋_GB2312"/>
          <w:sz w:val="32"/>
          <w:szCs w:val="32"/>
        </w:rPr>
        <w:t>站甲醇站改造</w:t>
      </w:r>
      <w:r>
        <w:rPr>
          <w:rFonts w:hint="eastAsia" w:eastAsia="仿宋_GB2312"/>
          <w:sz w:val="32"/>
          <w:szCs w:val="32"/>
          <w:lang w:val="en"/>
        </w:rPr>
        <w:t>环境</w:t>
      </w:r>
      <w:r>
        <w:rPr>
          <w:rFonts w:hint="eastAsia" w:eastAsia="仿宋_GB2312"/>
          <w:sz w:val="32"/>
          <w:szCs w:val="32"/>
        </w:rPr>
        <w:t>影响报告表</w:t>
      </w:r>
      <w:r>
        <w:rPr>
          <w:rFonts w:eastAsia="仿宋_GB2312"/>
          <w:sz w:val="32"/>
          <w:szCs w:val="32"/>
        </w:rPr>
        <w:t>》</w:t>
      </w:r>
      <w:r>
        <w:rPr>
          <w:rFonts w:hint="eastAsia" w:eastAsia="仿宋_GB2312"/>
          <w:sz w:val="32"/>
          <w:szCs w:val="32"/>
        </w:rPr>
        <w:t>及其附件</w:t>
      </w:r>
      <w:r>
        <w:rPr>
          <w:rFonts w:eastAsia="仿宋_GB2312"/>
          <w:sz w:val="32"/>
          <w:szCs w:val="32"/>
        </w:rPr>
        <w:t>收悉。经研究，现批复如下：</w:t>
      </w:r>
    </w:p>
    <w:p w14:paraId="442B1405">
      <w:pPr>
        <w:numPr>
          <w:ilvl w:val="0"/>
          <w:numId w:val="0"/>
        </w:numPr>
        <w:spacing w:line="600" w:lineRule="exact"/>
        <w:textAlignment w:val="baseline"/>
        <w:rPr>
          <w:rFonts w:eastAsia="仿宋_GB2312"/>
          <w:sz w:val="32"/>
          <w:szCs w:val="32"/>
        </w:rPr>
      </w:pPr>
      <w:r>
        <w:rPr>
          <w:rFonts w:hint="eastAsia" w:eastAsia="仿宋_GB2312"/>
          <w:sz w:val="32"/>
          <w:szCs w:val="32"/>
          <w:lang w:val="en-US" w:eastAsia="zh-CN"/>
        </w:rPr>
        <w:t xml:space="preserve">    一、</w:t>
      </w:r>
      <w:r>
        <w:rPr>
          <w:rFonts w:hint="eastAsia" w:eastAsia="仿宋_GB2312"/>
          <w:sz w:val="32"/>
          <w:szCs w:val="32"/>
          <w:lang w:eastAsia="zh-CN"/>
        </w:rPr>
        <w:t>你公司位于</w:t>
      </w:r>
      <w:r>
        <w:rPr>
          <w:rFonts w:hint="eastAsia" w:ascii="Times New Roman" w:hAnsi="Times New Roman" w:eastAsia="仿宋_GB2312" w:cs="Times New Roman"/>
          <w:sz w:val="32"/>
          <w:szCs w:val="32"/>
          <w:lang w:eastAsia="zh-CN"/>
        </w:rPr>
        <w:t>滨海新区大港板厂路101号，主要经营</w:t>
      </w:r>
      <w:r>
        <w:rPr>
          <w:rFonts w:hint="eastAsia" w:ascii="Times New Roman" w:hAnsi="Times New Roman" w:eastAsia="仿宋_GB2312" w:cs="Times New Roman"/>
          <w:sz w:val="32"/>
          <w:szCs w:val="32"/>
          <w:lang w:val="en-US" w:eastAsia="zh-CN"/>
        </w:rPr>
        <w:t>乙醇</w:t>
      </w:r>
      <w:r>
        <w:rPr>
          <w:rFonts w:hint="eastAsia" w:ascii="Times New Roman" w:hAnsi="Times New Roman" w:eastAsia="仿宋_GB2312" w:cs="Times New Roman"/>
          <w:sz w:val="32"/>
          <w:szCs w:val="32"/>
          <w:lang w:eastAsia="zh-CN"/>
        </w:rPr>
        <w:t>汽油、柴油、</w:t>
      </w:r>
      <w:r>
        <w:rPr>
          <w:rFonts w:hint="eastAsia" w:ascii="Times New Roman" w:hAnsi="Times New Roman" w:eastAsia="仿宋_GB2312" w:cs="Times New Roman"/>
          <w:sz w:val="32"/>
          <w:szCs w:val="32"/>
          <w:lang w:val="en-US" w:eastAsia="zh-CN"/>
        </w:rPr>
        <w:t>甲醇</w:t>
      </w:r>
      <w:r>
        <w:rPr>
          <w:rFonts w:hint="eastAsia" w:ascii="Times New Roman" w:hAnsi="Times New Roman" w:eastAsia="仿宋_GB2312" w:cs="Times New Roman"/>
          <w:sz w:val="32"/>
          <w:szCs w:val="32"/>
          <w:lang w:eastAsia="zh-CN"/>
        </w:rPr>
        <w:t>销售、物流仓储及汽车修理等，拟对现有加油站实施改造：停用一座40立方米的柴油罐，新建一座30立方米甲醇地埋双层储罐，将原有一台柴油加</w:t>
      </w:r>
      <w:r>
        <w:rPr>
          <w:rFonts w:hint="eastAsia" w:ascii="Times New Roman" w:hAnsi="Times New Roman" w:eastAsia="仿宋_GB2312" w:cs="Times New Roman"/>
          <w:sz w:val="32"/>
          <w:szCs w:val="32"/>
          <w:lang w:val="en-US" w:eastAsia="zh-CN"/>
        </w:rPr>
        <w:t>油</w:t>
      </w:r>
      <w:r>
        <w:rPr>
          <w:rFonts w:hint="eastAsia" w:ascii="Times New Roman" w:hAnsi="Times New Roman" w:eastAsia="仿宋_GB2312" w:cs="Times New Roman"/>
          <w:sz w:val="32"/>
          <w:szCs w:val="32"/>
          <w:lang w:eastAsia="zh-CN"/>
        </w:rPr>
        <w:t>机改造</w:t>
      </w:r>
      <w:r>
        <w:rPr>
          <w:rFonts w:hint="eastAsia" w:ascii="Times New Roman" w:hAnsi="Times New Roman" w:eastAsia="仿宋_GB2312" w:cs="Times New Roman"/>
          <w:sz w:val="32"/>
          <w:szCs w:val="32"/>
          <w:lang w:val="en-US" w:eastAsia="zh-CN"/>
        </w:rPr>
        <w:t>为甲醇加注机</w:t>
      </w:r>
      <w:r>
        <w:rPr>
          <w:rFonts w:hint="eastAsia" w:ascii="Times New Roman" w:hAnsi="Times New Roman" w:eastAsia="仿宋_GB2312" w:cs="Times New Roman"/>
          <w:sz w:val="32"/>
          <w:szCs w:val="32"/>
          <w:lang w:eastAsia="zh-CN"/>
        </w:rPr>
        <w:t>，另增设一台甲醇加注机。改造后全站共有四座油罐和一座甲醇储罐（其中两座40立方米的乙醇汽油储罐，两座40立方米的柴油储罐，一座</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0立方米的甲醇储罐），以及</w:t>
      </w:r>
      <w:r>
        <w:rPr>
          <w:rFonts w:hint="eastAsia" w:ascii="Times New Roman" w:hAnsi="Times New Roman" w:eastAsia="仿宋_GB2312" w:cs="Times New Roman"/>
          <w:sz w:val="32"/>
          <w:szCs w:val="32"/>
          <w:lang w:val="en-US" w:eastAsia="zh-CN"/>
        </w:rPr>
        <w:t>三台双枪汽油加油机、两台</w:t>
      </w:r>
      <w:r>
        <w:rPr>
          <w:rFonts w:hint="eastAsia" w:ascii="Times New Roman" w:hAnsi="Times New Roman" w:eastAsia="仿宋_GB2312" w:cs="Times New Roman"/>
          <w:sz w:val="32"/>
          <w:szCs w:val="32"/>
          <w:lang w:eastAsia="zh-CN"/>
        </w:rPr>
        <w:t>双枪</w:t>
      </w:r>
      <w:r>
        <w:rPr>
          <w:rFonts w:hint="eastAsia" w:ascii="Times New Roman" w:hAnsi="Times New Roman" w:eastAsia="仿宋_GB2312" w:cs="Times New Roman"/>
          <w:sz w:val="32"/>
          <w:szCs w:val="32"/>
          <w:lang w:val="en-US" w:eastAsia="zh-CN"/>
        </w:rPr>
        <w:t>柴油加油机、两台双枪甲醇加注机。乙醇汽油和柴油年销售量均为1200吨，车用甲醇年销售量为1000吨。</w:t>
      </w:r>
      <w:r>
        <w:rPr>
          <w:rFonts w:hint="eastAsia" w:eastAsia="仿宋_GB2312"/>
          <w:sz w:val="32"/>
          <w:szCs w:val="32"/>
        </w:rPr>
        <w:t>项目总投资</w:t>
      </w:r>
      <w:r>
        <w:rPr>
          <w:rFonts w:eastAsia="仿宋_GB2312"/>
          <w:sz w:val="32"/>
          <w:szCs w:val="32"/>
        </w:rPr>
        <w:t>1</w:t>
      </w:r>
      <w:r>
        <w:rPr>
          <w:rFonts w:hint="eastAsia" w:eastAsia="仿宋_GB2312"/>
          <w:sz w:val="32"/>
          <w:szCs w:val="32"/>
          <w:lang w:val="en-US" w:eastAsia="zh-CN"/>
        </w:rPr>
        <w:t>1</w:t>
      </w:r>
      <w:r>
        <w:rPr>
          <w:rFonts w:eastAsia="仿宋_GB2312"/>
          <w:sz w:val="32"/>
          <w:szCs w:val="32"/>
        </w:rPr>
        <w:t>0</w:t>
      </w:r>
      <w:r>
        <w:rPr>
          <w:rFonts w:hint="eastAsia" w:eastAsia="仿宋_GB2312"/>
          <w:sz w:val="32"/>
          <w:szCs w:val="32"/>
        </w:rPr>
        <w:t>万元，环保投资1</w:t>
      </w:r>
      <w:r>
        <w:rPr>
          <w:rFonts w:hint="eastAsia" w:eastAsia="仿宋_GB2312"/>
          <w:sz w:val="32"/>
          <w:szCs w:val="32"/>
          <w:lang w:val="en-US" w:eastAsia="zh-CN"/>
        </w:rPr>
        <w:t>7</w:t>
      </w:r>
      <w:r>
        <w:rPr>
          <w:rFonts w:hint="eastAsia" w:eastAsia="仿宋_GB2312"/>
          <w:sz w:val="32"/>
          <w:szCs w:val="32"/>
        </w:rPr>
        <w:t>.5万元，占总投资的</w:t>
      </w:r>
      <w:r>
        <w:rPr>
          <w:rFonts w:hint="eastAsia" w:eastAsia="仿宋_GB2312"/>
          <w:sz w:val="32"/>
          <w:szCs w:val="32"/>
          <w:lang w:val="en-US" w:eastAsia="zh-CN"/>
        </w:rPr>
        <w:t>1</w:t>
      </w:r>
      <w:r>
        <w:rPr>
          <w:rFonts w:hint="eastAsia" w:eastAsia="仿宋_GB2312"/>
          <w:sz w:val="32"/>
          <w:szCs w:val="32"/>
        </w:rPr>
        <w:t>5</w:t>
      </w:r>
      <w:r>
        <w:rPr>
          <w:rFonts w:hint="eastAsia" w:eastAsia="仿宋_GB2312"/>
          <w:sz w:val="32"/>
          <w:szCs w:val="32"/>
          <w:lang w:val="en-US" w:eastAsia="zh-CN"/>
        </w:rPr>
        <w:t>.9</w:t>
      </w:r>
      <w:r>
        <w:rPr>
          <w:rFonts w:hint="eastAsia" w:eastAsia="仿宋_GB2312"/>
          <w:sz w:val="32"/>
          <w:szCs w:val="32"/>
        </w:rPr>
        <w:t>%。</w:t>
      </w:r>
    </w:p>
    <w:p w14:paraId="2A1C5A7E">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2024年12月12日</w:t>
      </w:r>
      <w:r>
        <w:rPr>
          <w:rFonts w:eastAsia="仿宋_GB2312"/>
          <w:sz w:val="32"/>
          <w:szCs w:val="32"/>
        </w:rPr>
        <w:t>至</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18</w:t>
      </w:r>
      <w:r>
        <w:rPr>
          <w:rFonts w:eastAsia="仿宋_GB2312"/>
          <w:sz w:val="32"/>
          <w:szCs w:val="32"/>
        </w:rPr>
        <w:t>日，我局将该项目</w:t>
      </w:r>
      <w:r>
        <w:rPr>
          <w:rFonts w:hint="eastAsia" w:eastAsia="仿宋_GB2312"/>
          <w:sz w:val="32"/>
          <w:szCs w:val="32"/>
        </w:rPr>
        <w:t>环评报告</w:t>
      </w:r>
      <w:r>
        <w:rPr>
          <w:rFonts w:eastAsia="仿宋_GB2312"/>
          <w:sz w:val="32"/>
          <w:szCs w:val="32"/>
        </w:rPr>
        <w:t>受理情况进行</w:t>
      </w:r>
      <w:r>
        <w:rPr>
          <w:rFonts w:hint="eastAsia" w:eastAsia="仿宋_GB2312"/>
          <w:sz w:val="32"/>
          <w:szCs w:val="32"/>
          <w:lang w:eastAsia="zh-CN"/>
        </w:rPr>
        <w:t>了</w:t>
      </w:r>
      <w:r>
        <w:rPr>
          <w:rFonts w:eastAsia="仿宋_GB2312"/>
          <w:sz w:val="32"/>
          <w:szCs w:val="32"/>
        </w:rPr>
        <w:t>公示；</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25</w:t>
      </w:r>
      <w:r>
        <w:rPr>
          <w:rFonts w:eastAsia="仿宋_GB2312"/>
          <w:sz w:val="32"/>
          <w:szCs w:val="32"/>
        </w:rPr>
        <w:t>日至</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31</w:t>
      </w:r>
      <w:r>
        <w:rPr>
          <w:rFonts w:eastAsia="仿宋_GB2312"/>
          <w:sz w:val="32"/>
          <w:szCs w:val="32"/>
        </w:rPr>
        <w:t>日，将该项目</w:t>
      </w:r>
      <w:r>
        <w:rPr>
          <w:rFonts w:hint="eastAsia" w:eastAsia="仿宋_GB2312"/>
          <w:sz w:val="32"/>
          <w:szCs w:val="32"/>
        </w:rPr>
        <w:t>环评报告</w:t>
      </w:r>
      <w:r>
        <w:rPr>
          <w:rFonts w:eastAsia="仿宋_GB2312"/>
          <w:sz w:val="32"/>
          <w:szCs w:val="32"/>
        </w:rPr>
        <w:t>拟批复情况进行</w:t>
      </w:r>
      <w:r>
        <w:rPr>
          <w:rFonts w:hint="eastAsia" w:eastAsia="仿宋_GB2312"/>
          <w:sz w:val="32"/>
          <w:szCs w:val="32"/>
          <w:lang w:eastAsia="zh-CN"/>
        </w:rPr>
        <w:t>了</w:t>
      </w:r>
      <w:r>
        <w:rPr>
          <w:rFonts w:eastAsia="仿宋_GB2312"/>
          <w:sz w:val="32"/>
          <w:szCs w:val="32"/>
        </w:rPr>
        <w:t>公示；根据公众反馈意见情况及环评报告结论，在严格落实环评报告所提出的各项污染防治措施、确保各类污染物稳定达标的前提下，项目</w:t>
      </w:r>
      <w:r>
        <w:rPr>
          <w:rFonts w:hint="eastAsia" w:eastAsia="仿宋_GB2312"/>
          <w:sz w:val="32"/>
          <w:szCs w:val="32"/>
        </w:rPr>
        <w:t>具备环境可行性</w:t>
      </w:r>
      <w:r>
        <w:rPr>
          <w:rFonts w:eastAsia="仿宋_GB2312"/>
          <w:sz w:val="32"/>
          <w:szCs w:val="32"/>
        </w:rPr>
        <w:t>。</w:t>
      </w:r>
    </w:p>
    <w:p w14:paraId="7793CCF3">
      <w:pPr>
        <w:spacing w:line="600" w:lineRule="exact"/>
        <w:ind w:firstLine="640" w:firstLineChars="200"/>
        <w:textAlignment w:val="baseline"/>
        <w:rPr>
          <w:rFonts w:eastAsia="仿宋_GB2312"/>
          <w:sz w:val="32"/>
          <w:szCs w:val="32"/>
        </w:rPr>
      </w:pPr>
      <w:r>
        <w:rPr>
          <w:rFonts w:eastAsia="仿宋_GB2312"/>
          <w:sz w:val="32"/>
          <w:szCs w:val="32"/>
        </w:rPr>
        <w:t>二、</w:t>
      </w:r>
      <w:r>
        <w:rPr>
          <w:rFonts w:hint="eastAsia" w:eastAsia="仿宋_GB2312"/>
          <w:sz w:val="32"/>
          <w:szCs w:val="32"/>
        </w:rPr>
        <w:t>你公司</w:t>
      </w:r>
      <w:r>
        <w:rPr>
          <w:rFonts w:eastAsia="仿宋_GB2312"/>
          <w:sz w:val="32"/>
          <w:szCs w:val="32"/>
        </w:rPr>
        <w:t>应重点做好以下工作：</w:t>
      </w:r>
    </w:p>
    <w:p w14:paraId="30A816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eastAsia="仿宋_GB2312"/>
          <w:sz w:val="32"/>
          <w:szCs w:val="32"/>
        </w:rPr>
        <w:t>1</w:t>
      </w:r>
      <w:r>
        <w:rPr>
          <w:rFonts w:hint="eastAsia" w:eastAsia="仿宋_GB2312"/>
          <w:sz w:val="32"/>
          <w:szCs w:val="32"/>
        </w:rPr>
        <w:t>.</w:t>
      </w:r>
      <w:r>
        <w:rPr>
          <w:rFonts w:hint="default" w:ascii="Times New Roman" w:hAnsi="Times New Roman" w:eastAsia="仿宋_GB2312" w:cs="Times New Roman"/>
          <w:color w:val="auto"/>
          <w:sz w:val="32"/>
          <w:szCs w:val="32"/>
        </w:rPr>
        <w:t>施工期间应严格执行国家相关环保法律法规和落实环评报告中提出的污染防范措施：做到合法施工，文明生产</w:t>
      </w:r>
      <w:r>
        <w:rPr>
          <w:rFonts w:hint="default" w:ascii="Times New Roman" w:hAnsi="Times New Roman" w:eastAsia="仿宋_GB2312" w:cs="Times New Roman"/>
          <w:sz w:val="32"/>
          <w:szCs w:val="32"/>
        </w:rPr>
        <w:t>，减少扬尘污染；施工场地固体垃圾应</w:t>
      </w:r>
      <w:r>
        <w:rPr>
          <w:rFonts w:hint="eastAsia" w:eastAsia="仿宋_GB2312" w:cs="Times New Roman"/>
          <w:sz w:val="32"/>
          <w:szCs w:val="32"/>
          <w:lang w:eastAsia="zh-CN"/>
        </w:rPr>
        <w:t>妥善处置</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清罐产生的油泥委托有资质的单位处置</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清罐后的停用柴油罐进行填砂处理</w:t>
      </w:r>
      <w:r>
        <w:rPr>
          <w:rFonts w:hint="default" w:ascii="Times New Roman" w:hAnsi="Times New Roman" w:eastAsia="仿宋_GB2312" w:cs="Times New Roman"/>
          <w:color w:val="auto"/>
          <w:sz w:val="32"/>
          <w:szCs w:val="32"/>
        </w:rPr>
        <w:t>。</w:t>
      </w:r>
    </w:p>
    <w:p w14:paraId="6BC13F66">
      <w:pPr>
        <w:spacing w:line="600" w:lineRule="exact"/>
        <w:ind w:firstLine="640" w:firstLineChars="200"/>
        <w:textAlignment w:val="baseline"/>
        <w:rPr>
          <w:rFonts w:hint="eastAsia" w:ascii="Times New Roman" w:hAnsi="Times New Roman" w:eastAsia="仿宋_GB2312" w:cs="Times New Roman"/>
          <w:color w:val="auto"/>
          <w:sz w:val="32"/>
          <w:szCs w:val="32"/>
          <w:lang w:eastAsia="zh-CN"/>
        </w:rPr>
      </w:pPr>
      <w:r>
        <w:rPr>
          <w:rFonts w:hint="eastAsia" w:eastAsia="仿宋_GB2312"/>
          <w:sz w:val="32"/>
          <w:szCs w:val="32"/>
          <w:lang w:val="en-US" w:eastAsia="zh-CN"/>
        </w:rPr>
        <w:t>2.</w:t>
      </w:r>
      <w:r>
        <w:rPr>
          <w:rFonts w:hint="eastAsia" w:ascii="Times New Roman" w:hAnsi="Times New Roman" w:eastAsia="仿宋_GB2312" w:cs="Times New Roman"/>
          <w:color w:val="auto"/>
          <w:sz w:val="32"/>
          <w:szCs w:val="32"/>
          <w:lang w:val="en-US" w:eastAsia="zh-CN"/>
        </w:rPr>
        <w:t>运营期间，</w:t>
      </w:r>
      <w:r>
        <w:rPr>
          <w:rFonts w:hint="eastAsia" w:eastAsia="仿宋_GB2312" w:cs="Times New Roman"/>
          <w:color w:val="auto"/>
          <w:sz w:val="32"/>
          <w:szCs w:val="32"/>
          <w:lang w:val="en-US" w:eastAsia="zh-CN"/>
        </w:rPr>
        <w:t>甲醇</w:t>
      </w:r>
      <w:r>
        <w:rPr>
          <w:rFonts w:hint="eastAsia" w:ascii="Times New Roman" w:hAnsi="Times New Roman" w:eastAsia="仿宋_GB2312" w:cs="Times New Roman"/>
          <w:color w:val="auto"/>
          <w:sz w:val="32"/>
          <w:szCs w:val="32"/>
        </w:rPr>
        <w:t>卸</w:t>
      </w:r>
      <w:r>
        <w:rPr>
          <w:rFonts w:hint="eastAsia" w:eastAsia="仿宋_GB2312" w:cs="Times New Roman"/>
          <w:color w:val="auto"/>
          <w:sz w:val="32"/>
          <w:szCs w:val="32"/>
          <w:lang w:eastAsia="zh-CN"/>
        </w:rPr>
        <w:t>料</w:t>
      </w:r>
      <w:r>
        <w:rPr>
          <w:rFonts w:hint="eastAsia" w:ascii="Times New Roman" w:hAnsi="Times New Roman" w:eastAsia="仿宋_GB2312" w:cs="Times New Roman"/>
          <w:color w:val="auto"/>
          <w:sz w:val="32"/>
          <w:szCs w:val="32"/>
        </w:rPr>
        <w:t>产生的废气通过</w:t>
      </w:r>
      <w:r>
        <w:rPr>
          <w:rFonts w:hint="eastAsia" w:eastAsia="仿宋_GB2312" w:cs="Times New Roman"/>
          <w:color w:val="auto"/>
          <w:sz w:val="32"/>
          <w:szCs w:val="32"/>
          <w:lang w:eastAsia="zh-CN"/>
        </w:rPr>
        <w:t>一次</w:t>
      </w:r>
      <w:r>
        <w:rPr>
          <w:rFonts w:hint="eastAsia" w:ascii="Times New Roman" w:hAnsi="Times New Roman" w:eastAsia="仿宋_GB2312" w:cs="Times New Roman"/>
          <w:color w:val="auto"/>
          <w:sz w:val="32"/>
          <w:szCs w:val="32"/>
        </w:rPr>
        <w:t>回收系统返回至罐车内；</w:t>
      </w:r>
      <w:r>
        <w:rPr>
          <w:rFonts w:hint="eastAsia" w:eastAsia="仿宋_GB2312" w:cs="Times New Roman"/>
          <w:color w:val="auto"/>
          <w:sz w:val="32"/>
          <w:szCs w:val="32"/>
          <w:lang w:eastAsia="zh-CN"/>
        </w:rPr>
        <w:t>加注</w:t>
      </w:r>
      <w:r>
        <w:rPr>
          <w:rFonts w:hint="eastAsia" w:ascii="Times New Roman" w:hAnsi="Times New Roman" w:eastAsia="仿宋_GB2312" w:cs="Times New Roman"/>
          <w:color w:val="auto"/>
          <w:sz w:val="32"/>
          <w:szCs w:val="32"/>
        </w:rPr>
        <w:t>过程</w:t>
      </w:r>
      <w:r>
        <w:rPr>
          <w:rFonts w:hint="default" w:ascii="Times New Roman" w:hAnsi="Times New Roman" w:eastAsia="仿宋_GB2312" w:cs="Times New Roman"/>
          <w:color w:val="auto"/>
          <w:sz w:val="32"/>
          <w:szCs w:val="32"/>
        </w:rPr>
        <w:t>产生的废气经</w:t>
      </w:r>
      <w:r>
        <w:rPr>
          <w:rFonts w:hint="eastAsia" w:eastAsia="仿宋_GB2312" w:cs="Times New Roman"/>
          <w:color w:val="auto"/>
          <w:sz w:val="32"/>
          <w:szCs w:val="32"/>
          <w:lang w:eastAsia="zh-CN"/>
        </w:rPr>
        <w:t>二次</w:t>
      </w:r>
      <w:r>
        <w:rPr>
          <w:rFonts w:hint="eastAsia" w:ascii="Times New Roman" w:hAnsi="Times New Roman" w:eastAsia="仿宋_GB2312" w:cs="Times New Roman"/>
          <w:color w:val="auto"/>
          <w:sz w:val="32"/>
          <w:szCs w:val="32"/>
        </w:rPr>
        <w:t>回收系统</w:t>
      </w:r>
      <w:r>
        <w:rPr>
          <w:rFonts w:hint="default" w:ascii="Times New Roman" w:hAnsi="Times New Roman" w:eastAsia="仿宋_GB2312" w:cs="Times New Roman"/>
          <w:color w:val="auto"/>
          <w:sz w:val="32"/>
          <w:szCs w:val="32"/>
        </w:rPr>
        <w:t>收集</w:t>
      </w:r>
      <w:r>
        <w:rPr>
          <w:rFonts w:hint="eastAsia" w:ascii="Times New Roman" w:hAnsi="Times New Roman" w:eastAsia="仿宋_GB2312" w:cs="Times New Roman"/>
          <w:color w:val="auto"/>
          <w:sz w:val="32"/>
          <w:szCs w:val="32"/>
        </w:rPr>
        <w:t>后</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返回</w:t>
      </w:r>
      <w:r>
        <w:rPr>
          <w:rFonts w:hint="eastAsia" w:eastAsia="仿宋_GB2312" w:cs="Times New Roman"/>
          <w:color w:val="auto"/>
          <w:sz w:val="32"/>
          <w:szCs w:val="32"/>
          <w:lang w:eastAsia="zh-CN"/>
        </w:rPr>
        <w:t>甲醇</w:t>
      </w:r>
      <w:r>
        <w:rPr>
          <w:rFonts w:hint="eastAsia" w:ascii="Times New Roman" w:hAnsi="Times New Roman" w:eastAsia="仿宋_GB2312" w:cs="Times New Roman"/>
          <w:color w:val="auto"/>
          <w:sz w:val="32"/>
          <w:szCs w:val="32"/>
        </w:rPr>
        <w:t>储罐</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甲醇储罐呼吸产生的气</w:t>
      </w:r>
      <w:r>
        <w:rPr>
          <w:rFonts w:hint="eastAsia" w:ascii="Times New Roman" w:hAnsi="Times New Roman" w:eastAsia="仿宋_GB2312" w:cs="Times New Roman"/>
          <w:color w:val="auto"/>
          <w:sz w:val="32"/>
          <w:szCs w:val="32"/>
          <w:lang w:eastAsia="zh-CN"/>
        </w:rPr>
        <w:t>体排</w:t>
      </w:r>
      <w:r>
        <w:rPr>
          <w:rFonts w:hint="default" w:ascii="Times New Roman" w:hAnsi="Times New Roman" w:eastAsia="仿宋_GB2312" w:cs="Times New Roman"/>
          <w:color w:val="auto"/>
          <w:sz w:val="32"/>
          <w:szCs w:val="32"/>
          <w:lang w:eastAsia="zh-CN"/>
        </w:rPr>
        <w:t>入</w:t>
      </w:r>
      <w:r>
        <w:rPr>
          <w:rFonts w:hint="eastAsia" w:ascii="Times New Roman" w:hAnsi="Times New Roman" w:eastAsia="仿宋_GB2312" w:cs="Times New Roman"/>
          <w:color w:val="auto"/>
          <w:sz w:val="32"/>
          <w:szCs w:val="32"/>
          <w:lang w:eastAsia="zh-CN"/>
        </w:rPr>
        <w:t>一套新建的甲醇排放处理装置</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净化后的尾</w:t>
      </w:r>
      <w:r>
        <w:rPr>
          <w:rFonts w:hint="eastAsia" w:eastAsia="仿宋_GB2312" w:cs="Times New Roman"/>
          <w:color w:val="auto"/>
          <w:sz w:val="32"/>
          <w:szCs w:val="32"/>
          <w:lang w:eastAsia="zh-CN"/>
        </w:rPr>
        <w:t>气</w:t>
      </w:r>
      <w:r>
        <w:rPr>
          <w:rFonts w:hint="default"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根</w:t>
      </w:r>
      <w:r>
        <w:rPr>
          <w:rFonts w:hint="eastAsia" w:ascii="Times New Roman" w:hAnsi="Times New Roman" w:eastAsia="仿宋_GB2312" w:cs="Times New Roman"/>
          <w:color w:val="auto"/>
          <w:sz w:val="32"/>
          <w:szCs w:val="32"/>
        </w:rPr>
        <w:t>4</w:t>
      </w: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米</w:t>
      </w:r>
      <w:r>
        <w:rPr>
          <w:rFonts w:hint="default" w:ascii="Times New Roman" w:hAnsi="Times New Roman" w:eastAsia="仿宋_GB2312" w:cs="Times New Roman"/>
          <w:color w:val="auto"/>
          <w:sz w:val="32"/>
          <w:szCs w:val="32"/>
        </w:rPr>
        <w:t>高排气筒</w:t>
      </w:r>
      <w:r>
        <w:rPr>
          <w:rFonts w:hint="eastAsia" w:eastAsia="仿宋_GB2312" w:cs="Times New Roman"/>
          <w:color w:val="auto"/>
          <w:sz w:val="32"/>
          <w:szCs w:val="32"/>
          <w:lang w:eastAsia="zh-CN"/>
        </w:rPr>
        <w:t>达标</w:t>
      </w:r>
      <w:r>
        <w:rPr>
          <w:rFonts w:hint="default" w:ascii="Times New Roman" w:hAnsi="Times New Roman" w:eastAsia="仿宋_GB2312" w:cs="Times New Roman"/>
          <w:color w:val="auto"/>
          <w:sz w:val="32"/>
          <w:szCs w:val="32"/>
        </w:rPr>
        <w:t>排放。</w:t>
      </w:r>
    </w:p>
    <w:p w14:paraId="7A6C64EA">
      <w:pPr>
        <w:spacing w:line="600" w:lineRule="exact"/>
        <w:ind w:firstLine="640" w:firstLineChars="200"/>
        <w:textAlignment w:val="baseline"/>
        <w:rPr>
          <w:rFonts w:eastAsia="仿宋_GB2312"/>
          <w:sz w:val="32"/>
          <w:szCs w:val="32"/>
        </w:rPr>
      </w:pPr>
      <w:r>
        <w:rPr>
          <w:rFonts w:hint="eastAsia" w:eastAsia="仿宋_GB2312"/>
          <w:sz w:val="32"/>
          <w:szCs w:val="32"/>
        </w:rPr>
        <w:t>使用</w:t>
      </w:r>
      <w:r>
        <w:rPr>
          <w:rFonts w:eastAsia="仿宋_GB2312"/>
          <w:sz w:val="32"/>
          <w:szCs w:val="32"/>
        </w:rPr>
        <w:t>密闭性好的设备，减少</w:t>
      </w:r>
      <w:r>
        <w:rPr>
          <w:rFonts w:hint="eastAsia" w:eastAsia="仿宋_GB2312"/>
          <w:sz w:val="32"/>
          <w:szCs w:val="32"/>
        </w:rPr>
        <w:t>废气</w:t>
      </w:r>
      <w:r>
        <w:rPr>
          <w:rFonts w:eastAsia="仿宋_GB2312"/>
          <w:sz w:val="32"/>
          <w:szCs w:val="32"/>
        </w:rPr>
        <w:t>的无组织排放</w:t>
      </w:r>
      <w:r>
        <w:rPr>
          <w:rFonts w:hint="eastAsia" w:eastAsia="仿宋_GB2312"/>
          <w:sz w:val="32"/>
          <w:szCs w:val="32"/>
        </w:rPr>
        <w:t>，确保废气无组织排放浓度满足厂界限值要求。</w:t>
      </w:r>
    </w:p>
    <w:p w14:paraId="1499880F">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3</w:t>
      </w:r>
      <w:r>
        <w:rPr>
          <w:rFonts w:hint="eastAsia" w:eastAsia="仿宋_GB2312"/>
          <w:sz w:val="32"/>
          <w:szCs w:val="32"/>
        </w:rPr>
        <w:t>.</w:t>
      </w:r>
      <w:r>
        <w:rPr>
          <w:rFonts w:hint="eastAsia" w:eastAsia="仿宋_GB2312"/>
          <w:sz w:val="32"/>
          <w:szCs w:val="32"/>
          <w:lang w:eastAsia="zh-CN"/>
        </w:rPr>
        <w:t>该项目不新增废水</w:t>
      </w:r>
      <w:r>
        <w:rPr>
          <w:rFonts w:hint="eastAsia" w:eastAsia="仿宋_GB2312"/>
          <w:bCs/>
          <w:color w:val="000000"/>
          <w:sz w:val="32"/>
          <w:szCs w:val="32"/>
        </w:rPr>
        <w:t>。</w:t>
      </w:r>
    </w:p>
    <w:p w14:paraId="06D5F62F">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4</w:t>
      </w:r>
      <w:r>
        <w:rPr>
          <w:rFonts w:hint="eastAsia" w:eastAsia="仿宋_GB2312"/>
          <w:sz w:val="32"/>
          <w:szCs w:val="32"/>
        </w:rPr>
        <w:t>.站区应合理布局，选用低噪声设备，保证厂界噪声达标。</w:t>
      </w:r>
    </w:p>
    <w:p w14:paraId="3E1D32D0">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eastAsia="zh-CN"/>
        </w:rPr>
        <w:t>新增</w:t>
      </w:r>
      <w:r>
        <w:rPr>
          <w:rFonts w:hint="eastAsia" w:ascii="Times New Roman" w:hAnsi="Times New Roman" w:eastAsia="仿宋_GB2312" w:cs="Times New Roman"/>
          <w:sz w:val="32"/>
          <w:szCs w:val="32"/>
          <w:lang w:eastAsia="zh-CN"/>
        </w:rPr>
        <w:t>的清罐残</w:t>
      </w:r>
      <w:r>
        <w:rPr>
          <w:rFonts w:hint="eastAsia" w:ascii="Times New Roman" w:hAnsi="Times New Roman" w:eastAsia="仿宋_GB2312" w:cs="Times New Roman"/>
          <w:sz w:val="32"/>
          <w:szCs w:val="32"/>
          <w:lang w:val="en-US" w:eastAsia="zh-CN"/>
        </w:rPr>
        <w:t>液</w:t>
      </w:r>
      <w:r>
        <w:rPr>
          <w:rFonts w:hint="eastAsia" w:ascii="Times New Roman" w:hAnsi="Times New Roman" w:eastAsia="仿宋_GB2312" w:cs="Times New Roman"/>
          <w:sz w:val="32"/>
          <w:szCs w:val="32"/>
          <w:lang w:eastAsia="zh-CN"/>
        </w:rPr>
        <w:t>和废</w:t>
      </w:r>
      <w:r>
        <w:rPr>
          <w:rFonts w:hint="eastAsia" w:eastAsia="仿宋_GB2312"/>
          <w:sz w:val="32"/>
          <w:szCs w:val="32"/>
          <w:lang w:eastAsia="zh-CN"/>
        </w:rPr>
        <w:t>活性炭作为</w:t>
      </w:r>
      <w:r>
        <w:rPr>
          <w:rFonts w:hint="eastAsia" w:eastAsia="仿宋_GB2312"/>
          <w:sz w:val="32"/>
          <w:szCs w:val="32"/>
        </w:rPr>
        <w:t>危险废物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lang w:val="en-US" w:eastAsia="zh-CN"/>
        </w:rPr>
        <w:t>规范</w:t>
      </w:r>
      <w:r>
        <w:rPr>
          <w:rFonts w:hint="default" w:ascii="Times New Roman" w:hAnsi="Times New Roman" w:eastAsia="仿宋_GB2312" w:cs="Times New Roman"/>
          <w:sz w:val="32"/>
          <w:szCs w:val="32"/>
          <w:lang w:eastAsia="zh-CN"/>
        </w:rPr>
        <w:t>收集、贮存及运输，并交由有相应资质的单位进行处理、处置；</w:t>
      </w:r>
      <w:r>
        <w:rPr>
          <w:rFonts w:hint="eastAsia" w:eastAsia="仿宋_GB2312"/>
          <w:sz w:val="32"/>
          <w:szCs w:val="32"/>
          <w:lang w:eastAsia="zh-CN"/>
        </w:rPr>
        <w:t>项目</w:t>
      </w:r>
      <w:r>
        <w:rPr>
          <w:rFonts w:hint="eastAsia" w:eastAsia="仿宋_GB2312"/>
          <w:sz w:val="32"/>
          <w:szCs w:val="32"/>
        </w:rPr>
        <w:t>所依托的危险废物暂存间应按《危险废物贮存污染控制标准》（GB18597-20</w:t>
      </w:r>
      <w:r>
        <w:rPr>
          <w:rFonts w:hint="eastAsia" w:eastAsia="仿宋_GB2312"/>
          <w:sz w:val="32"/>
          <w:szCs w:val="32"/>
          <w:lang w:val="en-US" w:eastAsia="zh-CN"/>
        </w:rPr>
        <w:t>23</w:t>
      </w:r>
      <w:r>
        <w:rPr>
          <w:rFonts w:hint="eastAsia" w:eastAsia="仿宋_GB2312"/>
          <w:sz w:val="32"/>
          <w:szCs w:val="32"/>
        </w:rPr>
        <w:t>）进行完善和管理；</w:t>
      </w:r>
      <w:r>
        <w:rPr>
          <w:rFonts w:hint="default" w:ascii="Times New Roman" w:hAnsi="Times New Roman" w:eastAsia="仿宋_GB2312" w:cs="Times New Roman"/>
          <w:sz w:val="32"/>
          <w:szCs w:val="32"/>
          <w:lang w:eastAsia="zh-CN"/>
        </w:rPr>
        <w:t>严格按照《工业危险废物产生单位规范化管理指标及抽查表》做好危险废物规范化管理工作。</w:t>
      </w:r>
    </w:p>
    <w:p w14:paraId="0C7D4CC0">
      <w:pPr>
        <w:spacing w:line="600" w:lineRule="exact"/>
        <w:ind w:firstLine="640" w:firstLineChars="200"/>
        <w:textAlignment w:val="baseline"/>
        <w:rPr>
          <w:rFonts w:hint="default" w:ascii="Times New Roman" w:hAnsi="Times New Roman" w:eastAsia="仿宋_GB2312" w:cs="Times New Roman"/>
          <w:color w:val="auto"/>
          <w:sz w:val="32"/>
          <w:szCs w:val="32"/>
          <w:lang w:val="en-US" w:eastAsia="zh-CN"/>
        </w:rPr>
      </w:pPr>
      <w:r>
        <w:rPr>
          <w:rFonts w:hint="eastAsia" w:eastAsia="仿宋_GB2312"/>
          <w:sz w:val="32"/>
          <w:szCs w:val="32"/>
          <w:lang w:val="en-US" w:eastAsia="zh-CN"/>
        </w:rPr>
        <w:t>6</w:t>
      </w:r>
      <w:r>
        <w:rPr>
          <w:rFonts w:hint="eastAsia" w:eastAsia="仿宋_GB2312"/>
          <w:sz w:val="32"/>
          <w:szCs w:val="32"/>
        </w:rPr>
        <w:t>.</w:t>
      </w:r>
      <w:r>
        <w:rPr>
          <w:rFonts w:hint="default" w:ascii="Times New Roman" w:hAnsi="Times New Roman" w:eastAsia="仿宋_GB2312" w:cs="Times New Roman"/>
          <w:bCs/>
          <w:color w:val="auto"/>
          <w:sz w:val="32"/>
          <w:szCs w:val="32"/>
        </w:rPr>
        <w:t>采取严格的防渗、防泄漏、防腐蚀、加强管理等措施</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lang w:val="en-US" w:eastAsia="zh-CN"/>
        </w:rPr>
        <w:t>做好地下水污染和土壤污染的防控工作：完善分区防渗，合理设置地下水监测井，严格落实地下水</w:t>
      </w:r>
      <w:r>
        <w:rPr>
          <w:rFonts w:hint="eastAsia" w:eastAsia="仿宋_GB2312" w:cs="Times New Roman"/>
          <w:color w:val="auto"/>
          <w:sz w:val="32"/>
          <w:szCs w:val="32"/>
          <w:lang w:val="en-US" w:eastAsia="zh-CN"/>
        </w:rPr>
        <w:t>、土壤</w:t>
      </w:r>
      <w:r>
        <w:rPr>
          <w:rFonts w:hint="default" w:ascii="Times New Roman" w:hAnsi="Times New Roman" w:eastAsia="仿宋_GB2312" w:cs="Times New Roman"/>
          <w:color w:val="auto"/>
          <w:sz w:val="32"/>
          <w:szCs w:val="32"/>
          <w:lang w:val="en-US" w:eastAsia="zh-CN"/>
        </w:rPr>
        <w:t>监测计划，按照相关规定开展定期监测。</w:t>
      </w:r>
    </w:p>
    <w:p w14:paraId="16C53371">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7</w:t>
      </w:r>
      <w:r>
        <w:rPr>
          <w:rFonts w:hint="eastAsia" w:eastAsia="仿宋_GB2312"/>
          <w:sz w:val="32"/>
          <w:szCs w:val="32"/>
        </w:rPr>
        <w:t>.</w:t>
      </w:r>
      <w:r>
        <w:rPr>
          <w:rFonts w:hint="default" w:ascii="Times New Roman" w:hAnsi="Times New Roman" w:eastAsia="仿宋_GB2312" w:cs="Times New Roman"/>
          <w:color w:val="auto"/>
          <w:kern w:val="44"/>
          <w:sz w:val="32"/>
          <w:szCs w:val="32"/>
          <w:lang w:val="en-US" w:eastAsia="zh-CN" w:bidi="ar-SA"/>
        </w:rPr>
        <w:t>在依托现有工程的基础上，应进一步强化各项环境风险防范措施，确保事故废水和消防废水能够得到有效收集；</w:t>
      </w:r>
      <w:r>
        <w:rPr>
          <w:rFonts w:hint="default" w:ascii="Times New Roman" w:hAnsi="Times New Roman" w:eastAsia="仿宋_GB2312" w:cs="Times New Roman"/>
          <w:color w:val="auto"/>
          <w:sz w:val="32"/>
          <w:szCs w:val="32"/>
          <w:lang w:val="en-US" w:eastAsia="zh-CN"/>
        </w:rPr>
        <w:t>完善突发环境风险应急预案并向区生态环境局报备</w:t>
      </w:r>
      <w:r>
        <w:rPr>
          <w:rFonts w:hint="default" w:ascii="Times New Roman" w:hAnsi="Times New Roman" w:eastAsia="仿宋_GB2312" w:cs="Times New Roman"/>
          <w:color w:val="auto"/>
          <w:kern w:val="44"/>
          <w:sz w:val="32"/>
          <w:szCs w:val="32"/>
          <w:lang w:val="en-US" w:eastAsia="zh-CN" w:bidi="ar-SA"/>
        </w:rPr>
        <w:t>，</w:t>
      </w:r>
      <w:r>
        <w:rPr>
          <w:rFonts w:hint="default" w:ascii="Times New Roman" w:hAnsi="Times New Roman" w:eastAsia="仿宋_GB2312" w:cs="Times New Roman"/>
          <w:color w:val="auto"/>
          <w:sz w:val="32"/>
          <w:szCs w:val="32"/>
          <w:lang w:val="en-US" w:eastAsia="zh-CN"/>
        </w:rPr>
        <w:t>预案</w:t>
      </w:r>
      <w:r>
        <w:rPr>
          <w:rFonts w:hint="eastAsia"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val="en-US" w:eastAsia="zh-CN"/>
        </w:rPr>
        <w:t>与</w:t>
      </w:r>
      <w:r>
        <w:rPr>
          <w:rFonts w:hint="eastAsia" w:eastAsia="仿宋_GB2312" w:cs="Times New Roman"/>
          <w:color w:val="auto"/>
          <w:sz w:val="32"/>
          <w:szCs w:val="32"/>
          <w:lang w:val="en-US" w:eastAsia="zh-CN"/>
        </w:rPr>
        <w:t>天津石化公司</w:t>
      </w:r>
      <w:r>
        <w:rPr>
          <w:rFonts w:hint="default" w:ascii="Times New Roman" w:hAnsi="Times New Roman" w:eastAsia="仿宋_GB2312" w:cs="Times New Roman"/>
          <w:color w:val="auto"/>
          <w:sz w:val="32"/>
          <w:szCs w:val="32"/>
          <w:lang w:val="en-US" w:eastAsia="zh-CN"/>
        </w:rPr>
        <w:t>的事故应急预案相衔接</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与</w:t>
      </w:r>
      <w:r>
        <w:rPr>
          <w:rFonts w:hint="eastAsia" w:eastAsia="仿宋_GB2312" w:cs="Times New Roman"/>
          <w:color w:val="auto"/>
          <w:sz w:val="32"/>
          <w:szCs w:val="32"/>
          <w:lang w:val="en-US" w:eastAsia="zh-CN"/>
        </w:rPr>
        <w:t>相关企业</w:t>
      </w:r>
      <w:r>
        <w:rPr>
          <w:rFonts w:hint="eastAsia" w:ascii="Times New Roman" w:hAnsi="Times New Roman" w:eastAsia="仿宋_GB2312" w:cs="Times New Roman"/>
          <w:color w:val="auto"/>
          <w:sz w:val="32"/>
          <w:szCs w:val="32"/>
          <w:lang w:val="en-US" w:eastAsia="zh-CN"/>
        </w:rPr>
        <w:t>建立长效联动机制，</w:t>
      </w:r>
      <w:r>
        <w:rPr>
          <w:rFonts w:hint="default" w:ascii="Times New Roman" w:hAnsi="Times New Roman" w:eastAsia="仿宋_GB2312" w:cs="Times New Roman"/>
          <w:color w:val="auto"/>
          <w:kern w:val="44"/>
          <w:sz w:val="32"/>
          <w:szCs w:val="32"/>
          <w:lang w:val="en-US" w:eastAsia="zh-CN" w:bidi="ar-SA"/>
        </w:rPr>
        <w:t>定期开展突发环境事件应急演练，提高应对突发环境风险事故的处理能力，有效防范环境风险。</w:t>
      </w:r>
    </w:p>
    <w:p w14:paraId="77DEF9EF">
      <w:pPr>
        <w:spacing w:line="360" w:lineRule="auto"/>
        <w:ind w:firstLine="640" w:firstLineChars="200"/>
        <w:textAlignment w:val="baseline"/>
        <w:rPr>
          <w:rFonts w:eastAsia="仿宋_GB2312"/>
          <w:sz w:val="32"/>
          <w:szCs w:val="32"/>
          <w:highlight w:val="yellow"/>
        </w:rPr>
      </w:pPr>
      <w:r>
        <w:rPr>
          <w:rFonts w:hint="eastAsia" w:eastAsia="仿宋_GB2312"/>
          <w:sz w:val="32"/>
          <w:szCs w:val="32"/>
        </w:rPr>
        <w:t>三</w:t>
      </w:r>
      <w:r>
        <w:rPr>
          <w:rFonts w:eastAsia="仿宋_GB2312"/>
          <w:sz w:val="32"/>
          <w:szCs w:val="32"/>
        </w:rPr>
        <w:t>、</w:t>
      </w:r>
      <w:r>
        <w:rPr>
          <w:rFonts w:hint="default" w:ascii="Times New Roman" w:hAnsi="Times New Roman" w:eastAsia="仿宋_GB2312" w:cs="Times New Roman"/>
          <w:sz w:val="32"/>
          <w:szCs w:val="32"/>
        </w:rPr>
        <w:t>该项目</w:t>
      </w:r>
      <w:r>
        <w:rPr>
          <w:rFonts w:hint="eastAsia" w:eastAsia="仿宋_GB2312" w:cs="Times New Roman"/>
          <w:sz w:val="32"/>
          <w:szCs w:val="32"/>
          <w:lang w:eastAsia="zh-CN"/>
        </w:rPr>
        <w:t>不</w:t>
      </w:r>
      <w:r>
        <w:rPr>
          <w:rFonts w:hint="default" w:ascii="Times New Roman" w:hAnsi="Times New Roman" w:eastAsia="仿宋_GB2312" w:cs="Times New Roman"/>
          <w:sz w:val="32"/>
          <w:szCs w:val="32"/>
        </w:rPr>
        <w:t>新增污染物排放总量。</w:t>
      </w:r>
    </w:p>
    <w:p w14:paraId="2D75B02D">
      <w:pPr>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sz w:val="32"/>
          <w:szCs w:val="32"/>
        </w:rPr>
        <w:t>四、</w:t>
      </w:r>
      <w:r>
        <w:rPr>
          <w:rFonts w:hint="default" w:ascii="Times New Roman" w:hAnsi="Times New Roman" w:eastAsia="仿宋_GB2312" w:cs="Times New Roman"/>
          <w:sz w:val="32"/>
          <w:szCs w:val="32"/>
        </w:rPr>
        <w:t>项目竣工后</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按规定的标准和程序开展环境保护验收，经验收合格后方可正式投入</w:t>
      </w:r>
      <w:r>
        <w:rPr>
          <w:rFonts w:hint="default" w:ascii="Times New Roman" w:hAnsi="Times New Roman" w:eastAsia="仿宋_GB2312" w:cs="Times New Roman"/>
          <w:sz w:val="32"/>
          <w:szCs w:val="32"/>
          <w:lang w:val="en-US" w:eastAsia="zh-CN"/>
        </w:rPr>
        <w:t>使用；在该项目</w:t>
      </w:r>
      <w:r>
        <w:rPr>
          <w:rFonts w:hint="default" w:ascii="Times New Roman" w:hAnsi="Times New Roman" w:eastAsia="仿宋_GB2312" w:cs="Times New Roman"/>
          <w:sz w:val="32"/>
          <w:szCs w:val="32"/>
          <w:lang w:eastAsia="zh-CN"/>
        </w:rPr>
        <w:t>发生实际排污之前，</w:t>
      </w:r>
      <w:r>
        <w:rPr>
          <w:rFonts w:hint="default" w:ascii="Times New Roman" w:hAnsi="Times New Roman" w:eastAsia="仿宋_GB2312" w:cs="Times New Roman"/>
          <w:sz w:val="32"/>
          <w:szCs w:val="32"/>
          <w:lang w:val="en-US" w:eastAsia="zh-CN"/>
        </w:rPr>
        <w:t>你公司应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0E039010">
      <w:pPr>
        <w:spacing w:line="600" w:lineRule="exact"/>
        <w:ind w:firstLine="640" w:firstLineChars="200"/>
        <w:textAlignment w:val="baseline"/>
        <w:rPr>
          <w:rFonts w:eastAsia="仿宋_GB2312"/>
          <w:sz w:val="32"/>
          <w:szCs w:val="32"/>
        </w:rPr>
      </w:pPr>
      <w:r>
        <w:rPr>
          <w:rFonts w:hint="eastAsia" w:eastAsia="仿宋_GB2312"/>
          <w:sz w:val="32"/>
          <w:szCs w:val="32"/>
        </w:rPr>
        <w:t>五、项目应执行以下标准：</w:t>
      </w:r>
    </w:p>
    <w:p w14:paraId="09FC772A">
      <w:pPr>
        <w:spacing w:line="600" w:lineRule="exact"/>
        <w:ind w:firstLine="640" w:firstLineChars="200"/>
        <w:textAlignment w:val="baseline"/>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.甲醇厂界浓度执行</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大气污染物综合排放标准》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GB16297-1996</w:t>
      </w:r>
      <w:r>
        <w:rPr>
          <w:rFonts w:hint="eastAsia" w:ascii="Times New Roman" w:hAnsi="Times New Roman" w:eastAsia="仿宋_GB2312" w:cs="Times New Roman"/>
          <w:sz w:val="32"/>
          <w:szCs w:val="32"/>
          <w:highlight w:val="none"/>
          <w:lang w:eastAsia="zh-CN"/>
        </w:rPr>
        <w:t>）；</w:t>
      </w:r>
    </w:p>
    <w:p w14:paraId="2266C1EB">
      <w:pPr>
        <w:spacing w:line="600" w:lineRule="exact"/>
        <w:ind w:firstLine="640" w:firstLineChars="200"/>
        <w:textAlignment w:val="baseline"/>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非甲烷总烃厂界浓度执行</w:t>
      </w:r>
      <w:r>
        <w:rPr>
          <w:rFonts w:hint="default" w:ascii="Times New Roman" w:hAnsi="Times New Roman" w:eastAsia="仿宋_GB2312" w:cs="Times New Roman"/>
          <w:sz w:val="32"/>
          <w:szCs w:val="32"/>
          <w:highlight w:val="none"/>
        </w:rPr>
        <w:t>《加油站大气污染物排放标准》（</w:t>
      </w:r>
      <w:r>
        <w:rPr>
          <w:rFonts w:hint="eastAsia" w:ascii="Times New Roman" w:hAnsi="Times New Roman" w:eastAsia="仿宋_GB2312" w:cs="Times New Roman"/>
          <w:sz w:val="32"/>
          <w:szCs w:val="32"/>
          <w:highlight w:val="none"/>
        </w:rPr>
        <w:t>DB12/1302-2024</w:t>
      </w:r>
      <w:r>
        <w:rPr>
          <w:rFonts w:hint="default" w:ascii="Times New Roman" w:hAnsi="Times New Roman" w:eastAsia="仿宋_GB2312" w:cs="Times New Roman"/>
          <w:sz w:val="32"/>
          <w:szCs w:val="32"/>
          <w:highlight w:val="none"/>
        </w:rPr>
        <w:t>）；</w:t>
      </w:r>
    </w:p>
    <w:p w14:paraId="08ED5DC2">
      <w:pPr>
        <w:spacing w:line="600" w:lineRule="exact"/>
        <w:ind w:firstLine="640" w:firstLineChars="200"/>
        <w:textAlignment w:val="baseline"/>
        <w:rPr>
          <w:rFonts w:hint="eastAsia" w:eastAsia="仿宋_GB2312" w:cs="Times New Roman"/>
          <w:sz w:val="32"/>
          <w:szCs w:val="32"/>
          <w:lang w:val="en-US" w:eastAsia="zh-CN"/>
        </w:rPr>
      </w:pPr>
      <w:r>
        <w:rPr>
          <w:rFonts w:hint="eastAsia"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.甲醇的存储和输送</w:t>
      </w:r>
      <w:r>
        <w:rPr>
          <w:rFonts w:hint="eastAsia" w:ascii="Times New Roman" w:hAnsi="Times New Roman" w:eastAsia="仿宋_GB2312" w:cs="Times New Roman"/>
          <w:sz w:val="32"/>
          <w:szCs w:val="32"/>
          <w:lang w:val="en-US" w:eastAsia="zh-CN"/>
        </w:rPr>
        <w:t>过程执行《挥发性有机物无组织排放控制标准》（GB37822-2019）无组织排放控制要求；</w:t>
      </w:r>
    </w:p>
    <w:p w14:paraId="5F84DD5E">
      <w:pPr>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《工业企业厂界环境噪声排放标准》（GB12348-2008）</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类；</w:t>
      </w:r>
    </w:p>
    <w:p w14:paraId="1FA4CDD9">
      <w:pPr>
        <w:spacing w:line="600" w:lineRule="exact"/>
        <w:ind w:firstLine="63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《危险废物贮存污染控制标准》（GB18597-2023）；</w:t>
      </w:r>
    </w:p>
    <w:p w14:paraId="5FD09F26">
      <w:pPr>
        <w:spacing w:line="600" w:lineRule="exact"/>
        <w:ind w:firstLine="630"/>
        <w:textAlignment w:val="baseline"/>
        <w:rPr>
          <w:rFonts w:eastAsia="仿宋_GB2312"/>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《危险废物收集 贮存 运输技术规范》（HJ2025-2012）</w:t>
      </w:r>
      <w:r>
        <w:rPr>
          <w:rFonts w:hint="eastAsia" w:eastAsia="仿宋_GB2312"/>
          <w:sz w:val="32"/>
          <w:szCs w:val="32"/>
        </w:rPr>
        <w:t>。</w:t>
      </w:r>
    </w:p>
    <w:p w14:paraId="7842E607">
      <w:pPr>
        <w:spacing w:line="600" w:lineRule="exact"/>
        <w:ind w:firstLine="640" w:firstLineChars="200"/>
        <w:textAlignment w:val="baseline"/>
        <w:rPr>
          <w:rFonts w:eastAsia="仿宋_GB2312"/>
          <w:sz w:val="32"/>
          <w:szCs w:val="32"/>
        </w:rPr>
      </w:pPr>
      <w:r>
        <w:rPr>
          <w:rFonts w:hint="eastAsia" w:eastAsia="仿宋_GB2312"/>
          <w:sz w:val="32"/>
          <w:szCs w:val="32"/>
        </w:rPr>
        <w:t>此复。</w:t>
      </w:r>
    </w:p>
    <w:p w14:paraId="61A3B9CB"/>
    <w:p w14:paraId="1E23002B">
      <w:pPr>
        <w:pStyle w:val="2"/>
      </w:pPr>
    </w:p>
    <w:p w14:paraId="37D99EEE"/>
    <w:p w14:paraId="64E4ABCA"/>
    <w:p w14:paraId="74CEE5E4"/>
    <w:p w14:paraId="7DA9F04B">
      <w:pPr>
        <w:wordWrap w:val="0"/>
        <w:spacing w:line="360" w:lineRule="auto"/>
        <w:ind w:firstLine="2800" w:firstLineChars="1000"/>
        <w:jc w:val="right"/>
        <w:rPr>
          <w:rFonts w:eastAsia="仿宋_GB2312"/>
          <w:sz w:val="32"/>
        </w:rPr>
      </w:pPr>
      <w:r>
        <w:rPr>
          <w:rFonts w:eastAsia="仿宋_GB2312"/>
          <w:sz w:val="28"/>
          <w:szCs w:val="28"/>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5</w:t>
      </w:r>
      <w:r>
        <w:rPr>
          <w:rFonts w:eastAsia="仿宋_GB2312"/>
          <w:sz w:val="32"/>
          <w:szCs w:val="32"/>
        </w:rPr>
        <w:t>年</w:t>
      </w:r>
      <w:r>
        <w:rPr>
          <w:rFonts w:hint="eastAsia" w:eastAsia="仿宋_GB2312"/>
          <w:color w:val="auto"/>
          <w:sz w:val="32"/>
          <w:szCs w:val="32"/>
          <w:highlight w:val="none"/>
          <w:lang w:val="en-US" w:eastAsia="zh-CN"/>
        </w:rPr>
        <w:t>1</w:t>
      </w:r>
      <w:r>
        <w:rPr>
          <w:rFonts w:eastAsia="仿宋_GB2312"/>
          <w:color w:val="auto"/>
          <w:sz w:val="32"/>
          <w:szCs w:val="32"/>
          <w:highlight w:val="none"/>
        </w:rPr>
        <w:t>月</w:t>
      </w:r>
      <w:r>
        <w:rPr>
          <w:rFonts w:hint="eastAsia" w:eastAsia="仿宋_GB2312"/>
          <w:color w:val="auto"/>
          <w:sz w:val="32"/>
          <w:szCs w:val="32"/>
          <w:highlight w:val="none"/>
          <w:lang w:val="en-US" w:eastAsia="zh-CN"/>
        </w:rPr>
        <w:t>2</w:t>
      </w:r>
      <w:r>
        <w:rPr>
          <w:rFonts w:eastAsia="仿宋_GB2312"/>
          <w:color w:val="auto"/>
          <w:sz w:val="32"/>
          <w:szCs w:val="32"/>
          <w:highlight w:val="none"/>
        </w:rPr>
        <w:t>日</w:t>
      </w:r>
      <w:r>
        <w:rPr>
          <w:rFonts w:hint="eastAsia" w:eastAsia="仿宋_GB2312"/>
          <w:sz w:val="32"/>
        </w:rPr>
        <w:t xml:space="preserve">    </w:t>
      </w:r>
    </w:p>
    <w:p w14:paraId="6C9C127A">
      <w:pPr>
        <w:pageBreakBefore w:val="0"/>
        <w:widowControl w:val="0"/>
        <w:kinsoku/>
        <w:wordWrap/>
        <w:overflowPunct/>
        <w:topLinePunct w:val="0"/>
        <w:autoSpaceDE/>
        <w:autoSpaceDN/>
        <w:bidi w:val="0"/>
        <w:adjustRightInd/>
        <w:snapToGrid/>
        <w:spacing w:line="520" w:lineRule="exact"/>
        <w:textAlignment w:val="auto"/>
      </w:pPr>
    </w:p>
    <w:p w14:paraId="1E301541">
      <w:pPr>
        <w:pStyle w:val="2"/>
        <w:pageBreakBefore w:val="0"/>
        <w:widowControl w:val="0"/>
        <w:kinsoku/>
        <w:wordWrap/>
        <w:overflowPunct/>
        <w:topLinePunct w:val="0"/>
        <w:autoSpaceDE/>
        <w:autoSpaceDN/>
        <w:bidi w:val="0"/>
        <w:adjustRightInd/>
        <w:snapToGrid/>
        <w:spacing w:line="520" w:lineRule="exact"/>
        <w:textAlignment w:val="auto"/>
      </w:pPr>
    </w:p>
    <w:p w14:paraId="5FE73AC4">
      <w:pPr>
        <w:pageBreakBefore w:val="0"/>
        <w:widowControl w:val="0"/>
        <w:kinsoku/>
        <w:wordWrap/>
        <w:overflowPunct/>
        <w:topLinePunct w:val="0"/>
        <w:autoSpaceDE/>
        <w:autoSpaceDN/>
        <w:bidi w:val="0"/>
        <w:adjustRightInd/>
        <w:snapToGrid/>
        <w:spacing w:line="520" w:lineRule="exact"/>
        <w:textAlignment w:val="auto"/>
      </w:pPr>
    </w:p>
    <w:p w14:paraId="05B1CE5E">
      <w:pPr>
        <w:pStyle w:val="2"/>
        <w:pageBreakBefore w:val="0"/>
        <w:widowControl w:val="0"/>
        <w:kinsoku/>
        <w:wordWrap/>
        <w:overflowPunct/>
        <w:topLinePunct w:val="0"/>
        <w:autoSpaceDE/>
        <w:autoSpaceDN/>
        <w:bidi w:val="0"/>
        <w:adjustRightInd/>
        <w:snapToGrid/>
        <w:spacing w:line="520" w:lineRule="exact"/>
        <w:textAlignment w:val="auto"/>
      </w:pPr>
    </w:p>
    <w:p w14:paraId="5EF21F4B">
      <w:pPr>
        <w:pageBreakBefore w:val="0"/>
        <w:widowControl w:val="0"/>
        <w:kinsoku/>
        <w:wordWrap/>
        <w:overflowPunct/>
        <w:topLinePunct w:val="0"/>
        <w:autoSpaceDE/>
        <w:autoSpaceDN/>
        <w:bidi w:val="0"/>
        <w:adjustRightInd/>
        <w:snapToGrid/>
        <w:spacing w:line="520" w:lineRule="exact"/>
        <w:textAlignment w:val="auto"/>
      </w:pPr>
    </w:p>
    <w:p w14:paraId="28EB5DFB">
      <w:pPr>
        <w:pStyle w:val="2"/>
        <w:pageBreakBefore w:val="0"/>
        <w:widowControl w:val="0"/>
        <w:kinsoku/>
        <w:wordWrap/>
        <w:overflowPunct/>
        <w:topLinePunct w:val="0"/>
        <w:autoSpaceDE/>
        <w:autoSpaceDN/>
        <w:bidi w:val="0"/>
        <w:adjustRightInd/>
        <w:snapToGrid/>
        <w:spacing w:line="520" w:lineRule="exact"/>
        <w:textAlignment w:val="auto"/>
      </w:pPr>
    </w:p>
    <w:p w14:paraId="3E91549C">
      <w:pPr>
        <w:pageBreakBefore w:val="0"/>
        <w:widowControl w:val="0"/>
        <w:kinsoku/>
        <w:wordWrap/>
        <w:overflowPunct/>
        <w:topLinePunct w:val="0"/>
        <w:autoSpaceDE/>
        <w:autoSpaceDN/>
        <w:bidi w:val="0"/>
        <w:adjustRightInd/>
        <w:snapToGrid/>
        <w:spacing w:line="520" w:lineRule="exact"/>
        <w:textAlignment w:val="auto"/>
      </w:pPr>
    </w:p>
    <w:p w14:paraId="509EA7AA">
      <w:pPr>
        <w:pStyle w:val="2"/>
        <w:pageBreakBefore w:val="0"/>
        <w:widowControl w:val="0"/>
        <w:kinsoku/>
        <w:wordWrap/>
        <w:overflowPunct/>
        <w:topLinePunct w:val="0"/>
        <w:autoSpaceDE/>
        <w:autoSpaceDN/>
        <w:bidi w:val="0"/>
        <w:adjustRightInd/>
        <w:snapToGrid/>
        <w:spacing w:line="520" w:lineRule="exact"/>
        <w:textAlignment w:val="auto"/>
      </w:pPr>
    </w:p>
    <w:p w14:paraId="176659B2">
      <w:pPr>
        <w:spacing w:line="680" w:lineRule="exact"/>
        <w:rPr>
          <w:rFonts w:eastAsia="仿宋_GB2312"/>
          <w:sz w:val="28"/>
          <w:szCs w:val="28"/>
        </w:rPr>
      </w:pPr>
      <w:r>
        <w:rPr>
          <w:rFonts w:eastAsia="仿宋_GB2312"/>
          <w:sz w:val="28"/>
          <w:szCs w:val="28"/>
        </w:rPr>
        <w:t xml:space="preserve">主题词：环境影响 报告表 批复                </w:t>
      </w:r>
      <w:r>
        <w:rPr>
          <w:rFonts w:hint="eastAsia" w:eastAsia="仿宋_GB2312"/>
          <w:sz w:val="28"/>
          <w:szCs w:val="28"/>
          <w:lang w:val="en-US" w:eastAsia="zh-CN"/>
        </w:rPr>
        <w:t xml:space="preserve">  </w:t>
      </w:r>
      <w:r>
        <w:rPr>
          <w:rFonts w:eastAsia="仿宋_GB2312"/>
          <w:sz w:val="28"/>
          <w:szCs w:val="28"/>
        </w:rPr>
        <w:t xml:space="preserve">     （共印</w:t>
      </w:r>
      <w:r>
        <w:rPr>
          <w:rFonts w:hint="eastAsia" w:eastAsia="仿宋_GB2312"/>
          <w:sz w:val="28"/>
          <w:szCs w:val="28"/>
        </w:rPr>
        <w:t>3</w:t>
      </w:r>
      <w:r>
        <w:rPr>
          <w:rFonts w:eastAsia="仿宋_GB2312"/>
          <w:sz w:val="28"/>
          <w:szCs w:val="28"/>
        </w:rPr>
        <w:t>份）</w:t>
      </w:r>
    </w:p>
    <w:tbl>
      <w:tblPr>
        <w:tblStyle w:val="6"/>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0E05E879">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14:paraId="75D288FF">
            <w:pPr>
              <w:spacing w:line="680" w:lineRule="exact"/>
              <w:ind w:right="160"/>
              <w:rPr>
                <w:sz w:val="32"/>
              </w:rPr>
            </w:pPr>
            <w:r>
              <w:rPr>
                <w:rFonts w:eastAsia="仿宋_GB2312"/>
                <w:sz w:val="28"/>
                <w:szCs w:val="28"/>
              </w:rPr>
              <w:t>抄  送：天津市滨海新区生态环境局</w:t>
            </w:r>
          </w:p>
        </w:tc>
      </w:tr>
    </w:tbl>
    <w:p w14:paraId="77AE753B">
      <w:pPr>
        <w:rPr>
          <w:rFonts w:hint="eastAsia" w:ascii="仿宋_GB2312" w:eastAsia="仿宋_GB2312"/>
          <w:sz w:val="32"/>
          <w:szCs w:val="32"/>
          <w:lang w:val="en-US" w:eastAsia="zh-CN"/>
        </w:rPr>
      </w:pPr>
      <w:r>
        <w:rPr>
          <w:rFonts w:eastAsia="仿宋_GB2312"/>
          <w:sz w:val="28"/>
          <w:szCs w:val="28"/>
        </w:rPr>
        <w:t xml:space="preserve">天津市滨海新区行政审批局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年</w:t>
      </w:r>
      <w:r>
        <w:rPr>
          <w:rFonts w:hint="eastAsia" w:eastAsia="仿宋_GB2312"/>
          <w:color w:val="auto"/>
          <w:sz w:val="28"/>
          <w:szCs w:val="28"/>
          <w:highlight w:val="none"/>
          <w:lang w:val="en-US" w:eastAsia="zh-CN"/>
        </w:rPr>
        <w:t>1</w:t>
      </w:r>
      <w:r>
        <w:rPr>
          <w:rFonts w:eastAsia="仿宋_GB2312"/>
          <w:color w:val="auto"/>
          <w:sz w:val="28"/>
          <w:szCs w:val="28"/>
          <w:highlight w:val="none"/>
        </w:rPr>
        <w:t>月</w:t>
      </w:r>
      <w:r>
        <w:rPr>
          <w:rFonts w:hint="eastAsia" w:eastAsia="仿宋_GB2312"/>
          <w:color w:val="auto"/>
          <w:sz w:val="28"/>
          <w:szCs w:val="28"/>
          <w:highlight w:val="none"/>
          <w:lang w:val="en-US" w:eastAsia="zh-CN"/>
        </w:rPr>
        <w:t>2</w:t>
      </w:r>
      <w:r>
        <w:rPr>
          <w:rFonts w:eastAsia="仿宋_GB2312"/>
          <w:color w:val="auto"/>
          <w:sz w:val="28"/>
          <w:szCs w:val="28"/>
          <w:highlight w:val="none"/>
        </w:rPr>
        <w:t>日</w:t>
      </w:r>
      <w:r>
        <w:rPr>
          <w:rFonts w:eastAsia="仿宋_GB2312"/>
          <w:sz w:val="28"/>
          <w:szCs w:val="28"/>
        </w:rPr>
        <w:t>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3A86">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86ED6">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9286ED6">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2393">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602BE41F">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70C92"/>
    <w:rsid w:val="00180D2F"/>
    <w:rsid w:val="001964EB"/>
    <w:rsid w:val="001A023C"/>
    <w:rsid w:val="001E28B5"/>
    <w:rsid w:val="00212A4A"/>
    <w:rsid w:val="00234BD5"/>
    <w:rsid w:val="00254B41"/>
    <w:rsid w:val="00294AB6"/>
    <w:rsid w:val="002E284B"/>
    <w:rsid w:val="002F77FC"/>
    <w:rsid w:val="00345096"/>
    <w:rsid w:val="00371377"/>
    <w:rsid w:val="00380F59"/>
    <w:rsid w:val="00396D44"/>
    <w:rsid w:val="003E7586"/>
    <w:rsid w:val="003F4130"/>
    <w:rsid w:val="004167F4"/>
    <w:rsid w:val="00421888"/>
    <w:rsid w:val="00454338"/>
    <w:rsid w:val="00487BC1"/>
    <w:rsid w:val="00531BD1"/>
    <w:rsid w:val="00566C93"/>
    <w:rsid w:val="00576FFD"/>
    <w:rsid w:val="005804F4"/>
    <w:rsid w:val="005A2C3D"/>
    <w:rsid w:val="005A60A6"/>
    <w:rsid w:val="00631BCE"/>
    <w:rsid w:val="006A0BFE"/>
    <w:rsid w:val="0071652F"/>
    <w:rsid w:val="00725334"/>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24B5"/>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85562"/>
    <w:rsid w:val="00F921F7"/>
    <w:rsid w:val="00FC26E4"/>
    <w:rsid w:val="01464BF0"/>
    <w:rsid w:val="01605565"/>
    <w:rsid w:val="017D0E60"/>
    <w:rsid w:val="022C4AC3"/>
    <w:rsid w:val="023A6BC9"/>
    <w:rsid w:val="03171546"/>
    <w:rsid w:val="031C0752"/>
    <w:rsid w:val="03EA0063"/>
    <w:rsid w:val="04970BC1"/>
    <w:rsid w:val="04AD0797"/>
    <w:rsid w:val="05A1479A"/>
    <w:rsid w:val="079075EF"/>
    <w:rsid w:val="07CF6683"/>
    <w:rsid w:val="08CC7EF8"/>
    <w:rsid w:val="0A616717"/>
    <w:rsid w:val="0A7B58F8"/>
    <w:rsid w:val="0A993ECD"/>
    <w:rsid w:val="0AFD432E"/>
    <w:rsid w:val="0B0D5A13"/>
    <w:rsid w:val="0B6D14B7"/>
    <w:rsid w:val="0B751764"/>
    <w:rsid w:val="0BA22F78"/>
    <w:rsid w:val="0CD111DE"/>
    <w:rsid w:val="0D777966"/>
    <w:rsid w:val="0DA17C0A"/>
    <w:rsid w:val="0E491814"/>
    <w:rsid w:val="0EF01F61"/>
    <w:rsid w:val="0F15100D"/>
    <w:rsid w:val="0FA859B9"/>
    <w:rsid w:val="0FAE081D"/>
    <w:rsid w:val="0FAFD8C2"/>
    <w:rsid w:val="0FBF42EC"/>
    <w:rsid w:val="10F5402D"/>
    <w:rsid w:val="11D4312C"/>
    <w:rsid w:val="11D91F41"/>
    <w:rsid w:val="126758C9"/>
    <w:rsid w:val="138327ED"/>
    <w:rsid w:val="14367871"/>
    <w:rsid w:val="14F41FFC"/>
    <w:rsid w:val="1518002A"/>
    <w:rsid w:val="15794D99"/>
    <w:rsid w:val="16420B4B"/>
    <w:rsid w:val="17977B39"/>
    <w:rsid w:val="17B46048"/>
    <w:rsid w:val="180E7B33"/>
    <w:rsid w:val="184D3DB0"/>
    <w:rsid w:val="19827E91"/>
    <w:rsid w:val="19B95B36"/>
    <w:rsid w:val="19C23FA1"/>
    <w:rsid w:val="1BD1643B"/>
    <w:rsid w:val="1BED3202"/>
    <w:rsid w:val="1D992813"/>
    <w:rsid w:val="1E742A13"/>
    <w:rsid w:val="1E775E2D"/>
    <w:rsid w:val="1E8563FC"/>
    <w:rsid w:val="1E860E96"/>
    <w:rsid w:val="1F3259C6"/>
    <w:rsid w:val="1FFAE524"/>
    <w:rsid w:val="206E52DB"/>
    <w:rsid w:val="20E44790"/>
    <w:rsid w:val="21413718"/>
    <w:rsid w:val="217E0DA2"/>
    <w:rsid w:val="21D74401"/>
    <w:rsid w:val="220D79D5"/>
    <w:rsid w:val="228D1920"/>
    <w:rsid w:val="235F1C43"/>
    <w:rsid w:val="23CA3946"/>
    <w:rsid w:val="246E51C2"/>
    <w:rsid w:val="24CD3273"/>
    <w:rsid w:val="251F2C93"/>
    <w:rsid w:val="25930AA1"/>
    <w:rsid w:val="25B77F28"/>
    <w:rsid w:val="261C2711"/>
    <w:rsid w:val="26333F5B"/>
    <w:rsid w:val="264C63DC"/>
    <w:rsid w:val="2730219E"/>
    <w:rsid w:val="275E0489"/>
    <w:rsid w:val="27927955"/>
    <w:rsid w:val="27DF6D5B"/>
    <w:rsid w:val="27ED719E"/>
    <w:rsid w:val="28A50490"/>
    <w:rsid w:val="290416FB"/>
    <w:rsid w:val="2A8E570B"/>
    <w:rsid w:val="2B160CA6"/>
    <w:rsid w:val="2B2C5C09"/>
    <w:rsid w:val="2B5A4C61"/>
    <w:rsid w:val="2B892A8E"/>
    <w:rsid w:val="2BE975ED"/>
    <w:rsid w:val="2C22481C"/>
    <w:rsid w:val="2DA85F50"/>
    <w:rsid w:val="2DE85F13"/>
    <w:rsid w:val="2E727497"/>
    <w:rsid w:val="2FC339E9"/>
    <w:rsid w:val="31140AC3"/>
    <w:rsid w:val="31C439B0"/>
    <w:rsid w:val="31D3618D"/>
    <w:rsid w:val="31E47D3B"/>
    <w:rsid w:val="330A7AD7"/>
    <w:rsid w:val="33119F1F"/>
    <w:rsid w:val="333FC3F7"/>
    <w:rsid w:val="33517ECA"/>
    <w:rsid w:val="33937C59"/>
    <w:rsid w:val="33CC3E98"/>
    <w:rsid w:val="34D7709C"/>
    <w:rsid w:val="34DD613F"/>
    <w:rsid w:val="3536679E"/>
    <w:rsid w:val="3678062E"/>
    <w:rsid w:val="37232DB8"/>
    <w:rsid w:val="37FD68A6"/>
    <w:rsid w:val="393B4C3B"/>
    <w:rsid w:val="3982447C"/>
    <w:rsid w:val="39851AEA"/>
    <w:rsid w:val="399A2EB5"/>
    <w:rsid w:val="3B5E06FE"/>
    <w:rsid w:val="3C0B33E8"/>
    <w:rsid w:val="3C491AF5"/>
    <w:rsid w:val="3CB16EAA"/>
    <w:rsid w:val="3D1B42E3"/>
    <w:rsid w:val="3D8D3BBB"/>
    <w:rsid w:val="3E053D44"/>
    <w:rsid w:val="3E6B05F3"/>
    <w:rsid w:val="3FE8BB2B"/>
    <w:rsid w:val="419A35AC"/>
    <w:rsid w:val="41BA15F9"/>
    <w:rsid w:val="420A2FF8"/>
    <w:rsid w:val="42195A6A"/>
    <w:rsid w:val="423E4456"/>
    <w:rsid w:val="42A67AF8"/>
    <w:rsid w:val="4385580B"/>
    <w:rsid w:val="43AE49AE"/>
    <w:rsid w:val="44F21C4B"/>
    <w:rsid w:val="45145E37"/>
    <w:rsid w:val="45AD6951"/>
    <w:rsid w:val="463C00DC"/>
    <w:rsid w:val="47221287"/>
    <w:rsid w:val="47845592"/>
    <w:rsid w:val="485477BF"/>
    <w:rsid w:val="485D46A3"/>
    <w:rsid w:val="48B431C7"/>
    <w:rsid w:val="49D52D43"/>
    <w:rsid w:val="4A13595D"/>
    <w:rsid w:val="4AE83298"/>
    <w:rsid w:val="4B106CD2"/>
    <w:rsid w:val="4C895B69"/>
    <w:rsid w:val="4D7A256B"/>
    <w:rsid w:val="4DFC4C35"/>
    <w:rsid w:val="4EA51583"/>
    <w:rsid w:val="4F016F2E"/>
    <w:rsid w:val="4F9E2FE4"/>
    <w:rsid w:val="502925FF"/>
    <w:rsid w:val="50C54397"/>
    <w:rsid w:val="50D413E4"/>
    <w:rsid w:val="51131A8D"/>
    <w:rsid w:val="517F3AB5"/>
    <w:rsid w:val="51872AF4"/>
    <w:rsid w:val="51A96376"/>
    <w:rsid w:val="51F37B94"/>
    <w:rsid w:val="51FF48CF"/>
    <w:rsid w:val="5261193E"/>
    <w:rsid w:val="52B31C66"/>
    <w:rsid w:val="53333171"/>
    <w:rsid w:val="53334AA9"/>
    <w:rsid w:val="537F0991"/>
    <w:rsid w:val="541A70D3"/>
    <w:rsid w:val="55072BCC"/>
    <w:rsid w:val="56266096"/>
    <w:rsid w:val="562D4626"/>
    <w:rsid w:val="56F00E14"/>
    <w:rsid w:val="5733590C"/>
    <w:rsid w:val="5750757E"/>
    <w:rsid w:val="581A10A7"/>
    <w:rsid w:val="59465D4C"/>
    <w:rsid w:val="59A10B54"/>
    <w:rsid w:val="5A9211A0"/>
    <w:rsid w:val="5B4F1F6C"/>
    <w:rsid w:val="5BF87ACE"/>
    <w:rsid w:val="5CE11D93"/>
    <w:rsid w:val="5CEC23C7"/>
    <w:rsid w:val="5D1A2FE5"/>
    <w:rsid w:val="5DB84FA9"/>
    <w:rsid w:val="5E0A1E6D"/>
    <w:rsid w:val="5E2A6CFE"/>
    <w:rsid w:val="5EE5A1E3"/>
    <w:rsid w:val="5F96BAEF"/>
    <w:rsid w:val="5F9A6485"/>
    <w:rsid w:val="5FFF4964"/>
    <w:rsid w:val="60180D6C"/>
    <w:rsid w:val="619F7DE0"/>
    <w:rsid w:val="61F11BB7"/>
    <w:rsid w:val="628A6975"/>
    <w:rsid w:val="62DFDF5A"/>
    <w:rsid w:val="62F9157D"/>
    <w:rsid w:val="63A519FA"/>
    <w:rsid w:val="63C42AC6"/>
    <w:rsid w:val="640654C8"/>
    <w:rsid w:val="652EDB3A"/>
    <w:rsid w:val="65CB35F1"/>
    <w:rsid w:val="67836871"/>
    <w:rsid w:val="686A0B4A"/>
    <w:rsid w:val="6875104A"/>
    <w:rsid w:val="68CD0632"/>
    <w:rsid w:val="69B503D3"/>
    <w:rsid w:val="6A68020F"/>
    <w:rsid w:val="6AEF4930"/>
    <w:rsid w:val="6B622B93"/>
    <w:rsid w:val="6CBE07C5"/>
    <w:rsid w:val="6CE124F8"/>
    <w:rsid w:val="6F2605FE"/>
    <w:rsid w:val="6F2C4A70"/>
    <w:rsid w:val="6F4020DE"/>
    <w:rsid w:val="6FF3011B"/>
    <w:rsid w:val="706E47D2"/>
    <w:rsid w:val="71B60E95"/>
    <w:rsid w:val="71F065BA"/>
    <w:rsid w:val="729829D6"/>
    <w:rsid w:val="73067FA2"/>
    <w:rsid w:val="733369BF"/>
    <w:rsid w:val="734D635D"/>
    <w:rsid w:val="735D2B55"/>
    <w:rsid w:val="735D6A13"/>
    <w:rsid w:val="73935D89"/>
    <w:rsid w:val="73C20023"/>
    <w:rsid w:val="73C90575"/>
    <w:rsid w:val="73FF48DD"/>
    <w:rsid w:val="74235FBB"/>
    <w:rsid w:val="7458541A"/>
    <w:rsid w:val="7479752E"/>
    <w:rsid w:val="75C173E7"/>
    <w:rsid w:val="75CB2826"/>
    <w:rsid w:val="75F63195"/>
    <w:rsid w:val="76A77C9C"/>
    <w:rsid w:val="76D4578A"/>
    <w:rsid w:val="770574A0"/>
    <w:rsid w:val="773DEC86"/>
    <w:rsid w:val="78241FCC"/>
    <w:rsid w:val="787E122A"/>
    <w:rsid w:val="78B56081"/>
    <w:rsid w:val="78F2110B"/>
    <w:rsid w:val="7A134250"/>
    <w:rsid w:val="7A4D29BF"/>
    <w:rsid w:val="7BD13675"/>
    <w:rsid w:val="7C4F638F"/>
    <w:rsid w:val="7D123060"/>
    <w:rsid w:val="7DEE3A29"/>
    <w:rsid w:val="7E6C59D9"/>
    <w:rsid w:val="7FBFBF8F"/>
    <w:rsid w:val="7FD231E4"/>
    <w:rsid w:val="7FFB8BD3"/>
    <w:rsid w:val="8ADA1523"/>
    <w:rsid w:val="97FF6120"/>
    <w:rsid w:val="9F9F4516"/>
    <w:rsid w:val="9FA3A381"/>
    <w:rsid w:val="AFFC67D2"/>
    <w:rsid w:val="B6E326F4"/>
    <w:rsid w:val="BFEFF585"/>
    <w:rsid w:val="CFDD6A5A"/>
    <w:rsid w:val="D1E7F45D"/>
    <w:rsid w:val="D79F84D6"/>
    <w:rsid w:val="DE3EE7A5"/>
    <w:rsid w:val="F5FF469C"/>
    <w:rsid w:val="F6B76790"/>
    <w:rsid w:val="F7FAC2CE"/>
    <w:rsid w:val="FD7FD7DF"/>
    <w:rsid w:val="FDFE8796"/>
    <w:rsid w:val="FE6FDE2D"/>
    <w:rsid w:val="FE7B0913"/>
    <w:rsid w:val="FFB95EEE"/>
    <w:rsid w:val="FFD92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0"/>
    <w:rPr>
      <w:i/>
    </w:rPr>
  </w:style>
  <w:style w:type="character" w:customStyle="1" w:styleId="10">
    <w:name w:val="页脚 Char"/>
    <w:basedOn w:val="7"/>
    <w:link w:val="4"/>
    <w:qFormat/>
    <w:uiPriority w:val="0"/>
    <w:rPr>
      <w:kern w:val="2"/>
      <w:sz w:val="18"/>
      <w:szCs w:val="18"/>
    </w:rPr>
  </w:style>
  <w:style w:type="character" w:customStyle="1" w:styleId="11">
    <w:name w:val="页眉 Char"/>
    <w:basedOn w:val="7"/>
    <w:link w:val="5"/>
    <w:qFormat/>
    <w:uiPriority w:val="0"/>
    <w:rPr>
      <w:kern w:val="2"/>
      <w:sz w:val="18"/>
      <w:szCs w:val="18"/>
    </w:rPr>
  </w:style>
  <w:style w:type="paragraph" w:customStyle="1" w:styleId="12">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1576</Words>
  <Characters>1711</Characters>
  <Lines>12</Lines>
  <Paragraphs>3</Paragraphs>
  <TotalTime>1</TotalTime>
  <ScaleCrop>false</ScaleCrop>
  <LinksUpToDate>false</LinksUpToDate>
  <CharactersWithSpaces>1769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2014-05-26T09:22:00Z</dcterms:created>
  <dc:creator>张明蕾</dc:creator>
  <cp:lastModifiedBy>dell</cp:lastModifiedBy>
  <cp:lastPrinted>2020-01-24T14:59:00Z</cp:lastPrinted>
  <dcterms:modified xsi:type="dcterms:W3CDTF">2025-01-03T07:33:06Z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FB9F29731C5C45BCB343A6D436A21D42_13</vt:lpwstr>
  </property>
  <property fmtid="{D5CDD505-2E9C-101B-9397-08002B2CF9AE}" pid="4" name="KSOTemplateDocerSaveRecord">
    <vt:lpwstr>eyJoZGlkIjoiMzU4Y2IxYWRjN2EzMDcyYTNjZmRhN2U4ZWRiYWRmNGEiLCJ1c2VySWQiOiI1MTk5NDE2ODYifQ==</vt:lpwstr>
  </property>
</Properties>
</file>