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ABEF97">
      <w:pPr>
        <w:spacing w:line="360" w:lineRule="auto"/>
      </w:pPr>
    </w:p>
    <w:p w14:paraId="422C85EF">
      <w:pPr>
        <w:spacing w:line="360" w:lineRule="auto"/>
      </w:pPr>
    </w:p>
    <w:p w14:paraId="29D6ED46">
      <w:pPr>
        <w:spacing w:line="360" w:lineRule="auto"/>
      </w:pPr>
    </w:p>
    <w:p w14:paraId="634EE2CC">
      <w:pPr>
        <w:spacing w:line="360" w:lineRule="auto"/>
        <w:jc w:val="center"/>
        <w:rPr>
          <w:rFonts w:ascii="仿宋_GB2312"/>
        </w:rPr>
      </w:pPr>
    </w:p>
    <w:p w14:paraId="52222450">
      <w:pPr>
        <w:autoSpaceDE w:val="0"/>
        <w:autoSpaceDN w:val="0"/>
        <w:jc w:val="center"/>
        <w:rPr>
          <w:rFonts w:ascii="Times New Roman" w:hAnsi="Times New Roman"/>
        </w:rPr>
      </w:pPr>
      <w:r>
        <w:rPr>
          <w:rFonts w:hint="eastAsia" w:ascii="Times New Roman" w:hAnsi="Times New Roman"/>
          <w:lang w:val="zh-CN"/>
        </w:rPr>
        <w:t xml:space="preserve">津滨审批二室准〔2024〕322号 </w:t>
      </w:r>
      <w:bookmarkStart w:id="7" w:name="_GoBack"/>
      <w:bookmarkEnd w:id="7"/>
    </w:p>
    <w:p w14:paraId="59B936B3">
      <w:pPr>
        <w:spacing w:line="360" w:lineRule="auto"/>
        <w:jc w:val="center"/>
        <w:rPr>
          <w:rFonts w:ascii="Times New Roman" w:hAnsi="Times New Roman"/>
          <w:color w:val="000000"/>
        </w:rPr>
      </w:pPr>
      <w:r>
        <w:rPr>
          <w:rFonts w:ascii="Times New Roman"/>
          <w:color w:val="000000"/>
        </w:rPr>
        <w:t>项目代码：</w:t>
      </w:r>
      <w:r>
        <w:rPr>
          <w:rFonts w:hint="eastAsia" w:ascii="Times New Roman"/>
          <w:color w:val="000000"/>
        </w:rPr>
        <w:t>2403-120116-89-05-928896</w:t>
      </w:r>
    </w:p>
    <w:p w14:paraId="581FB549">
      <w:pPr>
        <w:pStyle w:val="12"/>
        <w:spacing w:line="360" w:lineRule="auto"/>
        <w:jc w:val="center"/>
        <w:rPr>
          <w:rFonts w:eastAsia="方正小标宋简体"/>
          <w:color w:val="000000"/>
          <w:sz w:val="44"/>
        </w:rPr>
      </w:pPr>
    </w:p>
    <w:p w14:paraId="73FB02EB">
      <w:pPr>
        <w:pStyle w:val="12"/>
        <w:spacing w:line="600" w:lineRule="exact"/>
        <w:jc w:val="center"/>
        <w:rPr>
          <w:rFonts w:eastAsia="方正小标宋简体"/>
          <w:bCs/>
          <w:color w:val="000000"/>
          <w:sz w:val="44"/>
        </w:rPr>
      </w:pPr>
      <w:r>
        <w:rPr>
          <w:rFonts w:hint="eastAsia" w:eastAsia="方正小标宋简体"/>
          <w:color w:val="000000"/>
          <w:sz w:val="44"/>
        </w:rPr>
        <w:t>关于</w:t>
      </w:r>
      <w:r>
        <w:rPr>
          <w:rFonts w:hint="eastAsia" w:eastAsia="方正小标宋简体"/>
          <w:bCs/>
          <w:color w:val="000000"/>
          <w:sz w:val="44"/>
        </w:rPr>
        <w:t>天津港焦炭码头有限公司南疆6#泊位</w:t>
      </w:r>
    </w:p>
    <w:p w14:paraId="512BB21B">
      <w:pPr>
        <w:pStyle w:val="12"/>
        <w:spacing w:line="600" w:lineRule="exact"/>
        <w:jc w:val="center"/>
        <w:rPr>
          <w:rFonts w:eastAsia="方正小标宋简体"/>
          <w:bCs/>
          <w:color w:val="000000"/>
          <w:sz w:val="44"/>
        </w:rPr>
      </w:pPr>
      <w:r>
        <w:rPr>
          <w:rFonts w:hint="eastAsia" w:eastAsia="方正小标宋简体"/>
          <w:bCs/>
          <w:color w:val="000000"/>
          <w:sz w:val="44"/>
        </w:rPr>
        <w:t>（含5#泊位第四段）码头升级改造工程</w:t>
      </w:r>
    </w:p>
    <w:p w14:paraId="2AB6CA61">
      <w:pPr>
        <w:pStyle w:val="12"/>
        <w:spacing w:line="600" w:lineRule="exact"/>
        <w:jc w:val="center"/>
        <w:rPr>
          <w:rFonts w:eastAsia="方正小标宋简体"/>
          <w:color w:val="000000"/>
          <w:sz w:val="44"/>
        </w:rPr>
      </w:pPr>
      <w:r>
        <w:rPr>
          <w:rFonts w:eastAsia="方正小标宋简体"/>
          <w:color w:val="000000"/>
          <w:sz w:val="44"/>
        </w:rPr>
        <w:t>环境影响报告</w:t>
      </w:r>
      <w:r>
        <w:rPr>
          <w:rFonts w:hint="eastAsia" w:eastAsia="方正小标宋简体"/>
          <w:color w:val="000000"/>
          <w:sz w:val="44"/>
        </w:rPr>
        <w:t>书</w:t>
      </w:r>
      <w:r>
        <w:rPr>
          <w:rFonts w:eastAsia="方正小标宋简体"/>
          <w:color w:val="000000"/>
          <w:sz w:val="44"/>
        </w:rPr>
        <w:t>的批复</w:t>
      </w:r>
    </w:p>
    <w:p w14:paraId="1E5C4CC6">
      <w:pPr>
        <w:spacing w:line="360" w:lineRule="auto"/>
        <w:jc w:val="center"/>
        <w:rPr>
          <w:b/>
          <w:color w:val="000000"/>
          <w:sz w:val="44"/>
        </w:rPr>
      </w:pPr>
    </w:p>
    <w:p w14:paraId="04E45757">
      <w:pPr>
        <w:pStyle w:val="12"/>
        <w:spacing w:line="360" w:lineRule="auto"/>
        <w:rPr>
          <w:sz w:val="32"/>
          <w:szCs w:val="32"/>
        </w:rPr>
      </w:pPr>
      <w:bookmarkStart w:id="0" w:name="OLE_LINK2"/>
      <w:r>
        <w:rPr>
          <w:rFonts w:hint="eastAsia"/>
          <w:bCs/>
          <w:sz w:val="32"/>
          <w:szCs w:val="32"/>
        </w:rPr>
        <w:t>天津港焦炭码头有限公司</w:t>
      </w:r>
      <w:bookmarkEnd w:id="0"/>
      <w:r>
        <w:rPr>
          <w:sz w:val="32"/>
          <w:szCs w:val="32"/>
        </w:rPr>
        <w:t>：</w:t>
      </w:r>
    </w:p>
    <w:p w14:paraId="060E7CE7">
      <w:pPr>
        <w:pStyle w:val="12"/>
        <w:spacing w:line="360" w:lineRule="auto"/>
        <w:ind w:firstLine="662" w:firstLineChars="207"/>
        <w:rPr>
          <w:sz w:val="32"/>
          <w:szCs w:val="32"/>
        </w:rPr>
      </w:pPr>
      <w:r>
        <w:rPr>
          <w:sz w:val="32"/>
          <w:szCs w:val="32"/>
        </w:rPr>
        <w:t>你公司提交的《关于</w:t>
      </w:r>
      <w:r>
        <w:rPr>
          <w:rFonts w:hint="eastAsia"/>
          <w:bCs/>
          <w:sz w:val="32"/>
          <w:szCs w:val="32"/>
        </w:rPr>
        <w:t>天津港焦炭码头有限公司南疆6#泊位（含5#泊位第四段）码头升级改造工程</w:t>
      </w:r>
      <w:r>
        <w:rPr>
          <w:sz w:val="32"/>
          <w:szCs w:val="32"/>
        </w:rPr>
        <w:t>环境影响报告</w:t>
      </w:r>
      <w:r>
        <w:rPr>
          <w:rFonts w:hint="eastAsia"/>
          <w:sz w:val="32"/>
          <w:szCs w:val="32"/>
        </w:rPr>
        <w:t>书报批请示</w:t>
      </w:r>
      <w:r>
        <w:rPr>
          <w:sz w:val="32"/>
          <w:szCs w:val="32"/>
        </w:rPr>
        <w:t>》、天津环科环境咨询有限公司《关于</w:t>
      </w:r>
      <w:r>
        <w:rPr>
          <w:rFonts w:hint="eastAsia"/>
          <w:sz w:val="32"/>
          <w:szCs w:val="32"/>
        </w:rPr>
        <w:t>天津港焦炭码头有限公司南疆6#泊位（含5#泊位第四段）码头升级改造工程</w:t>
      </w:r>
      <w:r>
        <w:rPr>
          <w:sz w:val="32"/>
          <w:szCs w:val="32"/>
        </w:rPr>
        <w:t>环境影响报告</w:t>
      </w:r>
      <w:r>
        <w:rPr>
          <w:rFonts w:hint="eastAsia"/>
          <w:sz w:val="32"/>
          <w:szCs w:val="32"/>
        </w:rPr>
        <w:t>书</w:t>
      </w:r>
      <w:r>
        <w:rPr>
          <w:sz w:val="32"/>
          <w:szCs w:val="32"/>
        </w:rPr>
        <w:t>的技术评估报告》（新区评估书[202</w:t>
      </w:r>
      <w:r>
        <w:rPr>
          <w:rFonts w:hint="eastAsia"/>
          <w:sz w:val="32"/>
          <w:szCs w:val="32"/>
        </w:rPr>
        <w:t>3</w:t>
      </w:r>
      <w:r>
        <w:rPr>
          <w:sz w:val="32"/>
          <w:szCs w:val="32"/>
        </w:rPr>
        <w:t>]0</w:t>
      </w:r>
      <w:r>
        <w:rPr>
          <w:rFonts w:hint="eastAsia"/>
          <w:sz w:val="32"/>
          <w:szCs w:val="32"/>
        </w:rPr>
        <w:t>18</w:t>
      </w:r>
      <w:r>
        <w:rPr>
          <w:sz w:val="32"/>
          <w:szCs w:val="32"/>
        </w:rPr>
        <w:t>号，以下简称“评估报告”）以及天科院环境科技发展（天津）有限公司《</w:t>
      </w:r>
      <w:r>
        <w:rPr>
          <w:rFonts w:hint="eastAsia"/>
          <w:sz w:val="32"/>
          <w:szCs w:val="32"/>
        </w:rPr>
        <w:t>天津港焦炭码头有限公司南疆6#泊位（含5#泊位第四段）码头升级改造工程</w:t>
      </w:r>
      <w:r>
        <w:rPr>
          <w:sz w:val="32"/>
          <w:szCs w:val="32"/>
        </w:rPr>
        <w:t>环境影响报告</w:t>
      </w:r>
      <w:r>
        <w:rPr>
          <w:rFonts w:hint="eastAsia"/>
          <w:sz w:val="32"/>
          <w:szCs w:val="32"/>
        </w:rPr>
        <w:t>书</w:t>
      </w:r>
      <w:r>
        <w:rPr>
          <w:sz w:val="32"/>
          <w:szCs w:val="32"/>
        </w:rPr>
        <w:t>》及相关材料收悉。经研究，现批复如下：</w:t>
      </w:r>
    </w:p>
    <w:p w14:paraId="58BE3105">
      <w:pPr>
        <w:pStyle w:val="12"/>
        <w:spacing w:line="360" w:lineRule="auto"/>
        <w:ind w:firstLine="640" w:firstLineChars="200"/>
        <w:rPr>
          <w:sz w:val="32"/>
          <w:szCs w:val="32"/>
          <w:lang w:bidi="en-US"/>
        </w:rPr>
      </w:pPr>
      <w:r>
        <w:rPr>
          <w:rFonts w:hint="eastAsia"/>
          <w:sz w:val="32"/>
          <w:szCs w:val="32"/>
        </w:rPr>
        <w:t>一、</w:t>
      </w:r>
      <w:r>
        <w:rPr>
          <w:sz w:val="32"/>
          <w:szCs w:val="32"/>
        </w:rPr>
        <w:t>你公司拟</w:t>
      </w:r>
      <w:r>
        <w:rPr>
          <w:rFonts w:hint="eastAsia"/>
          <w:bCs/>
          <w:sz w:val="32"/>
          <w:szCs w:val="32"/>
        </w:rPr>
        <w:t>投资66438.42万元人民币建设“天津港焦炭码头有限公司南疆6#泊位（含5#泊位第四段）码头升级改造工程”</w:t>
      </w:r>
      <w:r>
        <w:rPr>
          <w:sz w:val="32"/>
          <w:szCs w:val="32"/>
        </w:rPr>
        <w:t>项目（以下简称“项目”）。项目主要建设内容为：</w:t>
      </w:r>
      <w:r>
        <w:rPr>
          <w:rFonts w:hint="eastAsia"/>
          <w:sz w:val="32"/>
          <w:szCs w:val="32"/>
        </w:rPr>
        <w:t>对</w:t>
      </w:r>
      <w:r>
        <w:rPr>
          <w:rFonts w:hint="eastAsia"/>
          <w:bCs/>
          <w:sz w:val="32"/>
          <w:szCs w:val="32"/>
        </w:rPr>
        <w:t>位于天津市滨海新区天津港南疆港区，南疆路以南，南八路以东的</w:t>
      </w:r>
      <w:r>
        <w:rPr>
          <w:rFonts w:hint="eastAsia"/>
          <w:sz w:val="32"/>
          <w:szCs w:val="32"/>
        </w:rPr>
        <w:t>现有</w:t>
      </w:r>
      <w:bookmarkStart w:id="1" w:name="OLE_LINK8"/>
      <w:r>
        <w:rPr>
          <w:rFonts w:hint="eastAsia"/>
          <w:bCs/>
          <w:color w:val="000000"/>
          <w:kern w:val="0"/>
          <w:sz w:val="32"/>
          <w:szCs w:val="32"/>
        </w:rPr>
        <w:t>南疆6#泊位</w:t>
      </w:r>
      <w:bookmarkEnd w:id="1"/>
      <w:r>
        <w:rPr>
          <w:rFonts w:hint="eastAsia"/>
          <w:bCs/>
          <w:color w:val="000000"/>
          <w:kern w:val="0"/>
          <w:sz w:val="32"/>
          <w:szCs w:val="32"/>
        </w:rPr>
        <w:t>和部分南疆5</w:t>
      </w:r>
      <w:r>
        <w:rPr>
          <w:bCs/>
          <w:color w:val="000000"/>
          <w:kern w:val="0"/>
          <w:sz w:val="32"/>
          <w:szCs w:val="32"/>
        </w:rPr>
        <w:t>#</w:t>
      </w:r>
      <w:r>
        <w:rPr>
          <w:rFonts w:hint="eastAsia"/>
          <w:bCs/>
          <w:color w:val="000000"/>
          <w:kern w:val="0"/>
          <w:sz w:val="32"/>
          <w:szCs w:val="32"/>
        </w:rPr>
        <w:t>泊位前方作业区域进行改造，</w:t>
      </w:r>
      <w:r>
        <w:rPr>
          <w:rFonts w:hint="eastAsia"/>
          <w:bCs/>
          <w:color w:val="000000"/>
          <w:kern w:val="0"/>
          <w:sz w:val="32"/>
          <w:szCs w:val="32"/>
          <w:lang w:bidi="en-US"/>
        </w:rPr>
        <w:t>将南疆6#泊位5万吨级焦炭专业化泊位升级改造为20万吨级通用泊位</w:t>
      </w:r>
      <w:r>
        <w:rPr>
          <w:rFonts w:hint="eastAsia"/>
          <w:sz w:val="32"/>
          <w:szCs w:val="32"/>
        </w:rPr>
        <w:t>。项目</w:t>
      </w:r>
      <w:r>
        <w:rPr>
          <w:rFonts w:hint="eastAsia"/>
          <w:bCs/>
          <w:sz w:val="32"/>
          <w:szCs w:val="32"/>
        </w:rPr>
        <w:t>水工结构改造总长度419.05米，改造后南疆6#泊位利用岸线长度391.6米（含过渡段15.6米）；将南疆6#泊位的结构形式由引桥式布置改造为满堂式布置，</w:t>
      </w:r>
      <w:bookmarkStart w:id="2" w:name="OLE_LINK10"/>
      <w:bookmarkStart w:id="3" w:name="OLE_LINK9"/>
      <w:r>
        <w:rPr>
          <w:rFonts w:hint="eastAsia"/>
          <w:bCs/>
          <w:sz w:val="32"/>
          <w:szCs w:val="32"/>
        </w:rPr>
        <w:t>南疆</w:t>
      </w:r>
      <w:bookmarkEnd w:id="2"/>
      <w:r>
        <w:rPr>
          <w:rFonts w:hint="eastAsia"/>
          <w:bCs/>
          <w:sz w:val="32"/>
          <w:szCs w:val="32"/>
        </w:rPr>
        <w:t>6#泊位</w:t>
      </w:r>
      <w:bookmarkEnd w:id="3"/>
      <w:r>
        <w:rPr>
          <w:rFonts w:hint="eastAsia"/>
          <w:bCs/>
          <w:sz w:val="32"/>
          <w:szCs w:val="32"/>
        </w:rPr>
        <w:t>新增4台40t-45m门座式起重机，从</w:t>
      </w:r>
      <w:bookmarkStart w:id="4" w:name="OLE_LINK14"/>
      <w:r>
        <w:rPr>
          <w:rFonts w:hint="eastAsia"/>
          <w:bCs/>
          <w:sz w:val="32"/>
          <w:szCs w:val="32"/>
        </w:rPr>
        <w:t>南疆5#泊位</w:t>
      </w:r>
      <w:bookmarkEnd w:id="4"/>
      <w:r>
        <w:rPr>
          <w:rFonts w:hint="eastAsia"/>
          <w:bCs/>
          <w:sz w:val="32"/>
          <w:szCs w:val="32"/>
        </w:rPr>
        <w:t>转移3台40t-33m门座式起重机至南疆6#泊位，同时在陆侧轨道后方布置三处缓冲堆场；将南疆6#泊位现有皮带输送系统拆除，装卸方式调整为门机装卸；对</w:t>
      </w:r>
      <w:bookmarkStart w:id="5" w:name="OLE_LINK12"/>
      <w:r>
        <w:rPr>
          <w:rFonts w:hint="eastAsia"/>
          <w:bCs/>
          <w:sz w:val="32"/>
          <w:szCs w:val="32"/>
        </w:rPr>
        <w:t>码头前沿、港池、回旋区域</w:t>
      </w:r>
      <w:bookmarkEnd w:id="5"/>
      <w:r>
        <w:rPr>
          <w:rFonts w:hint="eastAsia"/>
          <w:bCs/>
          <w:sz w:val="32"/>
          <w:szCs w:val="32"/>
        </w:rPr>
        <w:t>进行疏浚，</w:t>
      </w:r>
      <w:r>
        <w:rPr>
          <w:rFonts w:hint="eastAsia"/>
          <w:bCs/>
          <w:color w:val="000000"/>
          <w:kern w:val="0"/>
          <w:sz w:val="32"/>
          <w:szCs w:val="32"/>
        </w:rPr>
        <w:t>总疏浚面积0.3923平方公里</w:t>
      </w:r>
      <w:r>
        <w:rPr>
          <w:rFonts w:hint="eastAsia"/>
          <w:sz w:val="32"/>
          <w:szCs w:val="32"/>
          <w:lang w:bidi="en-US"/>
        </w:rPr>
        <w:t>。</w:t>
      </w:r>
      <w:r>
        <w:rPr>
          <w:rFonts w:hint="eastAsia"/>
          <w:bCs/>
          <w:sz w:val="32"/>
          <w:szCs w:val="32"/>
          <w:lang w:bidi="en-US"/>
        </w:rPr>
        <w:t>项目实施后，</w:t>
      </w:r>
      <w:bookmarkStart w:id="6" w:name="OLE_LINK15"/>
      <w:r>
        <w:rPr>
          <w:rFonts w:hint="eastAsia"/>
          <w:bCs/>
          <w:sz w:val="32"/>
          <w:szCs w:val="32"/>
          <w:lang w:bidi="en-US"/>
        </w:rPr>
        <w:t>南疆6#泊位和南疆5#泊位</w:t>
      </w:r>
      <w:bookmarkEnd w:id="6"/>
      <w:r>
        <w:rPr>
          <w:rFonts w:hint="eastAsia"/>
          <w:bCs/>
          <w:sz w:val="32"/>
          <w:szCs w:val="32"/>
          <w:lang w:bidi="en-US"/>
        </w:rPr>
        <w:t>的货物种类保持不变，年总吞吐量维持在2300吨不变。</w:t>
      </w:r>
    </w:p>
    <w:p w14:paraId="11A1CA72">
      <w:pPr>
        <w:pStyle w:val="12"/>
        <w:spacing w:line="360" w:lineRule="auto"/>
        <w:ind w:firstLine="640" w:firstLineChars="200"/>
        <w:rPr>
          <w:color w:val="FF0000"/>
          <w:sz w:val="32"/>
          <w:szCs w:val="32"/>
        </w:rPr>
      </w:pPr>
      <w:r>
        <w:rPr>
          <w:bCs/>
          <w:sz w:val="32"/>
          <w:szCs w:val="32"/>
        </w:rPr>
        <w:t>项目环保投资约</w:t>
      </w:r>
      <w:r>
        <w:rPr>
          <w:rFonts w:hint="eastAsia"/>
          <w:bCs/>
          <w:sz w:val="32"/>
          <w:szCs w:val="32"/>
        </w:rPr>
        <w:t>630.9572</w:t>
      </w:r>
      <w:r>
        <w:rPr>
          <w:bCs/>
          <w:sz w:val="32"/>
          <w:szCs w:val="32"/>
        </w:rPr>
        <w:t>万元人民币，占投资总额的</w:t>
      </w:r>
      <w:r>
        <w:rPr>
          <w:rFonts w:hint="eastAsia"/>
          <w:bCs/>
          <w:sz w:val="32"/>
          <w:szCs w:val="32"/>
        </w:rPr>
        <w:t>0.95</w:t>
      </w:r>
      <w:r>
        <w:rPr>
          <w:bCs/>
          <w:sz w:val="32"/>
          <w:szCs w:val="32"/>
        </w:rPr>
        <w:t>%，预计于20</w:t>
      </w:r>
      <w:r>
        <w:rPr>
          <w:rFonts w:hint="eastAsia"/>
          <w:bCs/>
          <w:sz w:val="32"/>
          <w:szCs w:val="32"/>
        </w:rPr>
        <w:t>26</w:t>
      </w:r>
      <w:r>
        <w:rPr>
          <w:bCs/>
          <w:sz w:val="32"/>
          <w:szCs w:val="32"/>
        </w:rPr>
        <w:t>年</w:t>
      </w:r>
      <w:r>
        <w:rPr>
          <w:rFonts w:hint="eastAsia"/>
          <w:bCs/>
          <w:sz w:val="32"/>
          <w:szCs w:val="32"/>
        </w:rPr>
        <w:t>12</w:t>
      </w:r>
      <w:r>
        <w:rPr>
          <w:bCs/>
          <w:sz w:val="32"/>
          <w:szCs w:val="32"/>
        </w:rPr>
        <w:t>月竣工。</w:t>
      </w:r>
    </w:p>
    <w:p w14:paraId="3A2D4754">
      <w:pPr>
        <w:pStyle w:val="12"/>
        <w:spacing w:line="360" w:lineRule="auto"/>
        <w:ind w:firstLine="662" w:firstLineChars="207"/>
        <w:rPr>
          <w:sz w:val="32"/>
          <w:szCs w:val="32"/>
        </w:rPr>
      </w:pPr>
      <w:r>
        <w:rPr>
          <w:sz w:val="32"/>
          <w:szCs w:val="32"/>
        </w:rPr>
        <w:t>202</w:t>
      </w:r>
      <w:r>
        <w:rPr>
          <w:rFonts w:hint="eastAsia"/>
          <w:sz w:val="32"/>
          <w:szCs w:val="32"/>
        </w:rPr>
        <w:t>4</w:t>
      </w:r>
      <w:r>
        <w:rPr>
          <w:sz w:val="32"/>
          <w:szCs w:val="32"/>
        </w:rPr>
        <w:t>年</w:t>
      </w:r>
      <w:r>
        <w:rPr>
          <w:rFonts w:hint="eastAsia"/>
          <w:sz w:val="32"/>
          <w:szCs w:val="32"/>
        </w:rPr>
        <w:t>11</w:t>
      </w:r>
      <w:r>
        <w:rPr>
          <w:sz w:val="32"/>
          <w:szCs w:val="32"/>
        </w:rPr>
        <w:t>月</w:t>
      </w:r>
      <w:r>
        <w:rPr>
          <w:rFonts w:hint="eastAsia"/>
          <w:sz w:val="32"/>
          <w:szCs w:val="32"/>
        </w:rPr>
        <w:t>26</w:t>
      </w:r>
      <w:r>
        <w:rPr>
          <w:sz w:val="32"/>
          <w:szCs w:val="32"/>
        </w:rPr>
        <w:t>日至</w:t>
      </w:r>
      <w:r>
        <w:rPr>
          <w:rFonts w:hint="eastAsia"/>
          <w:sz w:val="32"/>
          <w:szCs w:val="32"/>
        </w:rPr>
        <w:t>12</w:t>
      </w:r>
      <w:r>
        <w:rPr>
          <w:sz w:val="32"/>
          <w:szCs w:val="32"/>
        </w:rPr>
        <w:t>月</w:t>
      </w:r>
      <w:r>
        <w:rPr>
          <w:rFonts w:hint="eastAsia"/>
          <w:sz w:val="32"/>
          <w:szCs w:val="32"/>
        </w:rPr>
        <w:t>9</w:t>
      </w:r>
      <w:r>
        <w:rPr>
          <w:sz w:val="32"/>
          <w:szCs w:val="32"/>
        </w:rPr>
        <w:t>日，我局将该项目受理情况进行公示；</w:t>
      </w:r>
      <w:r>
        <w:rPr>
          <w:rFonts w:hint="eastAsia"/>
          <w:sz w:val="32"/>
          <w:szCs w:val="32"/>
        </w:rPr>
        <w:t>12</w:t>
      </w:r>
      <w:r>
        <w:rPr>
          <w:sz w:val="32"/>
          <w:szCs w:val="32"/>
        </w:rPr>
        <w:t>月</w:t>
      </w:r>
      <w:r>
        <w:rPr>
          <w:rFonts w:hint="eastAsia"/>
          <w:sz w:val="32"/>
          <w:szCs w:val="32"/>
        </w:rPr>
        <w:t>24</w:t>
      </w:r>
      <w:r>
        <w:rPr>
          <w:sz w:val="32"/>
          <w:szCs w:val="32"/>
        </w:rPr>
        <w:t>日至</w:t>
      </w:r>
      <w:r>
        <w:rPr>
          <w:rFonts w:hint="eastAsia"/>
          <w:sz w:val="32"/>
          <w:szCs w:val="32"/>
        </w:rPr>
        <w:t>12</w:t>
      </w:r>
      <w:r>
        <w:rPr>
          <w:sz w:val="32"/>
          <w:szCs w:val="32"/>
        </w:rPr>
        <w:t>月</w:t>
      </w:r>
      <w:r>
        <w:rPr>
          <w:rFonts w:hint="eastAsia"/>
          <w:sz w:val="32"/>
          <w:szCs w:val="32"/>
        </w:rPr>
        <w:t>30</w:t>
      </w:r>
      <w:r>
        <w:rPr>
          <w:sz w:val="32"/>
          <w:szCs w:val="32"/>
        </w:rPr>
        <w:t>日，将该项目拟批复情况进行公示；根据公众反馈意见情况及环评报告结论，在严格落实环评报告所提出的各项污染防治措施、确保各类污染物稳定达标的前提下，同意该</w:t>
      </w:r>
      <w:r>
        <w:rPr>
          <w:rFonts w:hint="eastAsia"/>
          <w:sz w:val="32"/>
          <w:szCs w:val="32"/>
        </w:rPr>
        <w:t>项目</w:t>
      </w:r>
      <w:r>
        <w:rPr>
          <w:sz w:val="32"/>
          <w:szCs w:val="32"/>
        </w:rPr>
        <w:t>建设。</w:t>
      </w:r>
    </w:p>
    <w:p w14:paraId="5492AD6A">
      <w:pPr>
        <w:spacing w:line="360" w:lineRule="auto"/>
        <w:ind w:firstLine="640" w:firstLineChars="200"/>
        <w:textAlignment w:val="baseline"/>
        <w:rPr>
          <w:rFonts w:ascii="Times New Roman" w:hAnsi="Times New Roman"/>
        </w:rPr>
      </w:pPr>
      <w:r>
        <w:rPr>
          <w:rFonts w:hint="eastAsia" w:ascii="Times New Roman"/>
        </w:rPr>
        <w:t>二、</w:t>
      </w:r>
      <w:r>
        <w:rPr>
          <w:rFonts w:ascii="Times New Roman"/>
        </w:rPr>
        <w:t>你公司应严格落实报告书所提出的各项污染防治与生态环境保护措施，重点做好以下工作：</w:t>
      </w:r>
    </w:p>
    <w:p w14:paraId="17CFD9DC">
      <w:pPr>
        <w:spacing w:line="360" w:lineRule="auto"/>
        <w:ind w:firstLine="640" w:firstLineChars="200"/>
        <w:rPr>
          <w:rFonts w:ascii="Times New Roman" w:hAnsi="Times New Roman"/>
        </w:rPr>
      </w:pPr>
      <w:r>
        <w:rPr>
          <w:rFonts w:hint="eastAsia" w:ascii="Times New Roman"/>
        </w:rPr>
        <w:t>1.</w:t>
      </w:r>
      <w:r>
        <w:rPr>
          <w:rFonts w:ascii="Times New Roman"/>
        </w:rPr>
        <w:t>加强施工期环境管理，优化施工方案，合理安排施工进度；严格控制悬浮泥沙产生量，同时避让辽东湾渤海湾莱州湾国家级水产种质资源保护区主要保护对象的生长繁育关键阶段；最大限度减少对海洋生物的影响。</w:t>
      </w:r>
    </w:p>
    <w:p w14:paraId="0A25404B">
      <w:pPr>
        <w:spacing w:line="360" w:lineRule="auto"/>
        <w:ind w:firstLine="640" w:firstLineChars="200"/>
        <w:rPr>
          <w:rFonts w:ascii="Times New Roman" w:hAnsi="Times New Roman"/>
        </w:rPr>
      </w:pPr>
      <w:r>
        <w:rPr>
          <w:rFonts w:hint="eastAsia" w:ascii="Times New Roman"/>
        </w:rPr>
        <w:t>2.</w:t>
      </w:r>
      <w:r>
        <w:rPr>
          <w:rFonts w:ascii="Times New Roman"/>
        </w:rPr>
        <w:t>落实对施工扬尘、噪声等的各项污染防治措施；</w:t>
      </w:r>
      <w:r>
        <w:rPr>
          <w:rFonts w:hint="eastAsia" w:ascii="Times New Roman"/>
        </w:rPr>
        <w:t>施工船舶</w:t>
      </w:r>
      <w:r>
        <w:rPr>
          <w:rFonts w:ascii="Times New Roman"/>
        </w:rPr>
        <w:t>生活垃圾</w:t>
      </w:r>
      <w:r>
        <w:rPr>
          <w:rFonts w:hint="eastAsia" w:ascii="Times New Roman"/>
        </w:rPr>
        <w:t>、</w:t>
      </w:r>
      <w:r>
        <w:rPr>
          <w:rFonts w:ascii="Times New Roman"/>
        </w:rPr>
        <w:t>生活污水</w:t>
      </w:r>
      <w:r>
        <w:rPr>
          <w:rFonts w:hint="eastAsia" w:ascii="Times New Roman"/>
        </w:rPr>
        <w:t>、</w:t>
      </w:r>
      <w:r>
        <w:rPr>
          <w:rFonts w:ascii="Times New Roman"/>
        </w:rPr>
        <w:t>船舶</w:t>
      </w:r>
      <w:r>
        <w:rPr>
          <w:rFonts w:hint="eastAsia" w:ascii="Times New Roman"/>
        </w:rPr>
        <w:t>含</w:t>
      </w:r>
      <w:r>
        <w:rPr>
          <w:rFonts w:ascii="Times New Roman"/>
        </w:rPr>
        <w:t>油污水</w:t>
      </w:r>
      <w:r>
        <w:rPr>
          <w:rFonts w:hint="eastAsia" w:ascii="Times New Roman"/>
        </w:rPr>
        <w:t>接入接收设施后</w:t>
      </w:r>
      <w:r>
        <w:rPr>
          <w:rFonts w:ascii="Times New Roman"/>
        </w:rPr>
        <w:t>由有资质的单位接收处理，不得向海洋排放。项目</w:t>
      </w:r>
      <w:r>
        <w:rPr>
          <w:rFonts w:hint="eastAsia" w:ascii="Times New Roman"/>
        </w:rPr>
        <w:t>疏浚物部分由南疆港区纳泥区接收（其中N1纳泥区须建设完善后方可依托使用），其余部分在满足</w:t>
      </w:r>
      <w:r>
        <w:rPr>
          <w:rFonts w:hint="eastAsia"/>
        </w:rPr>
        <w:t>《海洋倾倒物质评价规范 疏浚物》（GB30980-2014）中清洁疏浚物（</w:t>
      </w:r>
      <w:r>
        <w:rPr>
          <w:rFonts w:ascii="Times New Roman"/>
        </w:rPr>
        <w:t>Ⅰ</w:t>
      </w:r>
      <w:r>
        <w:rPr>
          <w:rFonts w:hint="eastAsia"/>
        </w:rPr>
        <w:t>类）要求条件下</w:t>
      </w:r>
      <w:r>
        <w:rPr>
          <w:rFonts w:hint="eastAsia" w:ascii="Times New Roman"/>
        </w:rPr>
        <w:t>排放至已获批的海洋倾倒区，</w:t>
      </w:r>
      <w:r>
        <w:rPr>
          <w:rFonts w:hint="eastAsia" w:ascii="Times New Roman" w:hAnsi="Times New Roman"/>
          <w:lang w:bidi="en-US"/>
        </w:rPr>
        <w:t>具体以倾倒许可证为准</w:t>
      </w:r>
      <w:r>
        <w:rPr>
          <w:rFonts w:ascii="Times New Roman"/>
        </w:rPr>
        <w:t>。</w:t>
      </w:r>
    </w:p>
    <w:p w14:paraId="394334C4">
      <w:pPr>
        <w:spacing w:line="360" w:lineRule="auto"/>
        <w:ind w:firstLine="640" w:firstLineChars="200"/>
      </w:pPr>
      <w:r>
        <w:rPr>
          <w:rFonts w:hint="eastAsia" w:ascii="Times New Roman"/>
        </w:rPr>
        <w:t>3.</w:t>
      </w:r>
      <w:r>
        <w:rPr>
          <w:rFonts w:hint="eastAsia"/>
          <w:bCs/>
          <w:color w:val="FF0000"/>
        </w:rPr>
        <w:t xml:space="preserve"> </w:t>
      </w:r>
      <w:r>
        <w:rPr>
          <w:rFonts w:hint="eastAsia" w:ascii="Times New Roman"/>
        </w:rPr>
        <w:t>运营期船舶</w:t>
      </w:r>
      <w:r>
        <w:rPr>
          <w:rFonts w:ascii="Times New Roman"/>
        </w:rPr>
        <w:t>生活垃圾</w:t>
      </w:r>
      <w:r>
        <w:rPr>
          <w:rFonts w:hint="eastAsia" w:ascii="Times New Roman"/>
        </w:rPr>
        <w:t>、</w:t>
      </w:r>
      <w:r>
        <w:rPr>
          <w:rFonts w:ascii="Times New Roman"/>
        </w:rPr>
        <w:t>生活污水</w:t>
      </w:r>
      <w:r>
        <w:rPr>
          <w:rFonts w:hint="eastAsia" w:ascii="Times New Roman"/>
        </w:rPr>
        <w:t>、</w:t>
      </w:r>
      <w:r>
        <w:rPr>
          <w:rFonts w:ascii="Times New Roman"/>
        </w:rPr>
        <w:t>船舶</w:t>
      </w:r>
      <w:r>
        <w:rPr>
          <w:rFonts w:hint="eastAsia" w:ascii="Times New Roman"/>
        </w:rPr>
        <w:t>含</w:t>
      </w:r>
      <w:r>
        <w:rPr>
          <w:rFonts w:ascii="Times New Roman"/>
        </w:rPr>
        <w:t>油污水由有资质的单位接收处理，不得向海洋排放</w:t>
      </w:r>
      <w:r>
        <w:rPr>
          <w:rFonts w:hint="eastAsia" w:ascii="Times New Roman"/>
        </w:rPr>
        <w:t>；</w:t>
      </w:r>
      <w:r>
        <w:rPr>
          <w:rFonts w:hint="eastAsia"/>
        </w:rPr>
        <w:t>码头冲洗水和初期雨水经收集后进入现有一套含尘污水处理设施处理后，全部回用堆场的喷淋、冲洗车辆和绿化，不外排。</w:t>
      </w:r>
    </w:p>
    <w:p w14:paraId="2084381E">
      <w:pPr>
        <w:spacing w:line="360" w:lineRule="auto"/>
        <w:ind w:firstLine="640" w:firstLineChars="200"/>
      </w:pPr>
      <w:r>
        <w:rPr>
          <w:rFonts w:hint="eastAsia"/>
        </w:rPr>
        <w:t>加强码头作业过程粉尘无组织排放管理，通过采取喷雾器抑尘、漏斗四周设置围挡封闭、雾炮车循环喷淋、定期清扫等措施，减少废气无组织排放，防止颗粒物无组织排放对周边环境影响产生影响，确保达标排放。</w:t>
      </w:r>
    </w:p>
    <w:p w14:paraId="040C41A8">
      <w:pPr>
        <w:spacing w:line="360" w:lineRule="auto"/>
        <w:ind w:firstLine="640" w:firstLineChars="200"/>
      </w:pPr>
      <w:r>
        <w:rPr>
          <w:rFonts w:hint="eastAsia"/>
        </w:rPr>
        <w:t>合理布局，选用低噪声设备，</w:t>
      </w:r>
      <w:r>
        <w:t>对产噪设备实施减振</w:t>
      </w:r>
      <w:r>
        <w:rPr>
          <w:rFonts w:hint="eastAsia"/>
        </w:rPr>
        <w:t>、消声、</w:t>
      </w:r>
      <w:r>
        <w:t>隔声等措施，确保厂界噪声达标。</w:t>
      </w:r>
    </w:p>
    <w:p w14:paraId="0BCFE503">
      <w:pPr>
        <w:spacing w:line="360" w:lineRule="auto"/>
        <w:ind w:firstLine="640" w:firstLineChars="200"/>
        <w:rPr>
          <w:rFonts w:ascii="Times New Roman" w:hAnsi="Times New Roman"/>
          <w:color w:val="FF0000"/>
        </w:rPr>
      </w:pPr>
      <w:r>
        <w:rPr>
          <w:rFonts w:hint="eastAsia" w:ascii="Times New Roman"/>
        </w:rPr>
        <w:t>4.严格落实渔业主管部门对“三湾”水产种质资源保护区的管理要求；</w:t>
      </w:r>
      <w:r>
        <w:rPr>
          <w:rFonts w:ascii="Times New Roman"/>
        </w:rPr>
        <w:t>强化生态保护措施，落实生态补偿资金，做好增殖放流相关工作</w:t>
      </w:r>
      <w:r>
        <w:rPr>
          <w:rFonts w:hint="eastAsia" w:ascii="Times New Roman"/>
        </w:rPr>
        <w:t>。</w:t>
      </w:r>
      <w:r>
        <w:rPr>
          <w:rFonts w:ascii="Times New Roman"/>
        </w:rPr>
        <w:t>落实报告提出的环境监测计划，做好海洋环境跟踪监测。</w:t>
      </w:r>
    </w:p>
    <w:p w14:paraId="347FF71B">
      <w:pPr>
        <w:spacing w:line="360" w:lineRule="auto"/>
        <w:ind w:firstLine="640" w:firstLineChars="200"/>
        <w:rPr>
          <w:rFonts w:ascii="Times New Roman"/>
        </w:rPr>
      </w:pPr>
      <w:r>
        <w:rPr>
          <w:rFonts w:hint="eastAsia" w:ascii="Times New Roman"/>
        </w:rPr>
        <w:t>5.</w:t>
      </w:r>
      <w:r>
        <w:rPr>
          <w:rFonts w:ascii="Times New Roman"/>
        </w:rPr>
        <w:t xml:space="preserve"> 严格落实报告</w:t>
      </w:r>
      <w:r>
        <w:rPr>
          <w:rFonts w:hint="eastAsia" w:ascii="Times New Roman"/>
        </w:rPr>
        <w:t>书</w:t>
      </w:r>
      <w:r>
        <w:rPr>
          <w:rFonts w:ascii="Times New Roman"/>
        </w:rPr>
        <w:t>提出的风险事故的防范措施，加强对环境风险的防治工作，强化管理，</w:t>
      </w:r>
      <w:r>
        <w:rPr>
          <w:rFonts w:hint="eastAsia" w:ascii="Times New Roman"/>
        </w:rPr>
        <w:t>完善</w:t>
      </w:r>
      <w:r>
        <w:rPr>
          <w:rFonts w:ascii="Times New Roman"/>
        </w:rPr>
        <w:t>应急预案</w:t>
      </w:r>
      <w:r>
        <w:rPr>
          <w:rFonts w:hint="eastAsia" w:ascii="Times New Roman"/>
        </w:rPr>
        <w:t>并备案</w:t>
      </w:r>
      <w:r>
        <w:rPr>
          <w:rFonts w:ascii="Times New Roman"/>
        </w:rPr>
        <w:t>，</w:t>
      </w:r>
      <w:r>
        <w:rPr>
          <w:rFonts w:hint="eastAsia" w:ascii="Times New Roman"/>
        </w:rPr>
        <w:t>同时做好与地方应急预案的衔接，</w:t>
      </w:r>
      <w:r>
        <w:rPr>
          <w:rFonts w:ascii="Times New Roman"/>
        </w:rPr>
        <w:t>统筹做好应急能力保障工作，防止发生环境事故和次生环境事故。</w:t>
      </w:r>
    </w:p>
    <w:p w14:paraId="7376706D">
      <w:pPr>
        <w:spacing w:line="360" w:lineRule="auto"/>
        <w:ind w:firstLine="640" w:firstLineChars="200"/>
        <w:rPr>
          <w:rFonts w:ascii="Times New Roman" w:hAnsi="Times New Roman"/>
        </w:rPr>
      </w:pPr>
      <w:r>
        <w:rPr>
          <w:rFonts w:ascii="Times New Roman"/>
        </w:rPr>
        <w:t>三、项目建设应严格执行环境保护设施与主体工程同时设计、同时施工、同时投产使用的</w:t>
      </w:r>
      <w:r>
        <w:rPr>
          <w:rFonts w:ascii="Times New Roman" w:hAnsi="Times New Roman"/>
        </w:rPr>
        <w:t>“</w:t>
      </w:r>
      <w:r>
        <w:rPr>
          <w:rFonts w:ascii="Times New Roman"/>
        </w:rPr>
        <w:t>三同时</w:t>
      </w:r>
      <w:r>
        <w:rPr>
          <w:rFonts w:ascii="Times New Roman" w:hAnsi="Times New Roman"/>
        </w:rPr>
        <w:t>”</w:t>
      </w:r>
      <w:r>
        <w:rPr>
          <w:rFonts w:ascii="Times New Roman"/>
        </w:rPr>
        <w:t>管理制度。项目应按规定标准和程序开展环境保护验收，经验收合格后方可正式投入运营。</w:t>
      </w:r>
    </w:p>
    <w:p w14:paraId="62ABCF72">
      <w:pPr>
        <w:pStyle w:val="12"/>
        <w:spacing w:line="360" w:lineRule="auto"/>
        <w:ind w:firstLine="662" w:firstLineChars="207"/>
        <w:rPr>
          <w:sz w:val="32"/>
          <w:szCs w:val="32"/>
        </w:rPr>
      </w:pPr>
      <w:r>
        <w:rPr>
          <w:sz w:val="32"/>
          <w:szCs w:val="32"/>
        </w:rPr>
        <w:t>四、若建设项目发生重大变动，需重新报批建设项目的环境影响评价文件。</w:t>
      </w:r>
    </w:p>
    <w:p w14:paraId="2990D0F5">
      <w:pPr>
        <w:pStyle w:val="12"/>
        <w:spacing w:line="360" w:lineRule="auto"/>
        <w:ind w:firstLine="662" w:firstLineChars="207"/>
        <w:rPr>
          <w:sz w:val="32"/>
          <w:szCs w:val="32"/>
        </w:rPr>
      </w:pPr>
      <w:r>
        <w:rPr>
          <w:rFonts w:hint="eastAsia"/>
          <w:sz w:val="32"/>
          <w:szCs w:val="32"/>
        </w:rPr>
        <w:t>五、你公司应</w:t>
      </w:r>
      <w:r>
        <w:rPr>
          <w:rFonts w:hint="eastAsia" w:ascii="仿宋_GB2312" w:cs="仿宋_GB2312"/>
          <w:sz w:val="32"/>
          <w:szCs w:val="32"/>
          <w:shd w:val="clear" w:color="auto" w:fill="FFFFFF"/>
        </w:rPr>
        <w:t>在启动生产设施或者在实际排污之前按照法律法规要求做好排污许可管理相关工作。</w:t>
      </w:r>
    </w:p>
    <w:p w14:paraId="7A40EC6C">
      <w:pPr>
        <w:pStyle w:val="12"/>
        <w:spacing w:line="360" w:lineRule="auto"/>
        <w:ind w:firstLine="662" w:firstLineChars="207"/>
        <w:rPr>
          <w:sz w:val="32"/>
          <w:szCs w:val="32"/>
        </w:rPr>
      </w:pPr>
      <w:r>
        <w:rPr>
          <w:rFonts w:hint="eastAsia"/>
          <w:sz w:val="32"/>
          <w:szCs w:val="32"/>
        </w:rPr>
        <w:t>六</w:t>
      </w:r>
      <w:r>
        <w:rPr>
          <w:sz w:val="32"/>
          <w:szCs w:val="32"/>
        </w:rPr>
        <w:t>、项目应执行以下标准：</w:t>
      </w:r>
    </w:p>
    <w:p w14:paraId="6C20F92C">
      <w:pPr>
        <w:spacing w:line="360" w:lineRule="auto"/>
        <w:ind w:firstLine="640" w:firstLineChars="200"/>
        <w:rPr>
          <w:rFonts w:ascii="Times New Roman" w:hAnsi="Times New Roman"/>
        </w:rPr>
      </w:pPr>
      <w:r>
        <w:rPr>
          <w:rFonts w:hint="eastAsia" w:ascii="Times New Roman" w:hAnsi="Times New Roman"/>
        </w:rPr>
        <w:t>1.《环境空气质量标准》（</w:t>
      </w:r>
      <w:r>
        <w:rPr>
          <w:rFonts w:ascii="Times New Roman" w:hAnsi="Times New Roman"/>
        </w:rPr>
        <w:t>GB3095-1996</w:t>
      </w:r>
      <w:r>
        <w:rPr>
          <w:rFonts w:hint="eastAsia" w:ascii="Times New Roman" w:hAnsi="Times New Roman"/>
        </w:rPr>
        <w:t>）二级；</w:t>
      </w:r>
    </w:p>
    <w:p w14:paraId="75AFEB6C">
      <w:pPr>
        <w:spacing w:line="360" w:lineRule="auto"/>
        <w:ind w:firstLine="640" w:firstLineChars="200"/>
        <w:rPr>
          <w:rFonts w:ascii="Times New Roman" w:hAnsi="Times New Roman"/>
        </w:rPr>
      </w:pPr>
      <w:r>
        <w:rPr>
          <w:rFonts w:hint="eastAsia" w:ascii="Times New Roman" w:hAnsi="Times New Roman"/>
        </w:rPr>
        <w:t>2.《声环境质量标准》（</w:t>
      </w:r>
      <w:r>
        <w:rPr>
          <w:rFonts w:ascii="Times New Roman" w:hAnsi="Times New Roman"/>
        </w:rPr>
        <w:t>GB3096-2008</w:t>
      </w:r>
      <w:r>
        <w:rPr>
          <w:rFonts w:hint="eastAsia" w:ascii="Times New Roman" w:hAnsi="Times New Roman"/>
        </w:rPr>
        <w:t>）</w:t>
      </w:r>
      <w:r>
        <w:rPr>
          <w:rFonts w:ascii="Times New Roman" w:hAnsi="Times New Roman"/>
        </w:rPr>
        <w:t>3</w:t>
      </w:r>
      <w:r>
        <w:rPr>
          <w:rFonts w:hint="eastAsia" w:ascii="Times New Roman" w:hAnsi="Times New Roman"/>
        </w:rPr>
        <w:t>类；</w:t>
      </w:r>
    </w:p>
    <w:p w14:paraId="2A5AC91A">
      <w:pPr>
        <w:spacing w:line="360" w:lineRule="auto"/>
        <w:ind w:firstLine="640" w:firstLineChars="200"/>
        <w:rPr>
          <w:rFonts w:ascii="Times New Roman" w:hAnsi="Times New Roman"/>
        </w:rPr>
      </w:pPr>
      <w:r>
        <w:rPr>
          <w:rFonts w:hint="eastAsia" w:ascii="Times New Roman" w:hAnsi="Times New Roman"/>
        </w:rPr>
        <w:t>3.《海水水质标准》（</w:t>
      </w:r>
      <w:r>
        <w:rPr>
          <w:rFonts w:ascii="Times New Roman" w:hAnsi="Times New Roman"/>
        </w:rPr>
        <w:t>GB3097-1997</w:t>
      </w:r>
      <w:r>
        <w:rPr>
          <w:rFonts w:hint="eastAsia" w:ascii="Times New Roman" w:hAnsi="Times New Roman"/>
        </w:rPr>
        <w:t>）；</w:t>
      </w:r>
    </w:p>
    <w:p w14:paraId="33BE78A5">
      <w:pPr>
        <w:spacing w:line="360" w:lineRule="auto"/>
        <w:ind w:firstLine="640" w:firstLineChars="200"/>
        <w:rPr>
          <w:rFonts w:ascii="Times New Roman" w:hAnsi="Times New Roman"/>
        </w:rPr>
      </w:pPr>
      <w:r>
        <w:rPr>
          <w:rFonts w:hint="eastAsia" w:ascii="Times New Roman" w:hAnsi="Times New Roman"/>
        </w:rPr>
        <w:t>4.《海洋沉积物质量标准》（</w:t>
      </w:r>
      <w:r>
        <w:rPr>
          <w:rFonts w:ascii="Times New Roman" w:hAnsi="Times New Roman"/>
        </w:rPr>
        <w:t>GB18668-2002</w:t>
      </w:r>
      <w:r>
        <w:rPr>
          <w:rFonts w:hint="eastAsia" w:ascii="Times New Roman" w:hAnsi="Times New Roman"/>
        </w:rPr>
        <w:t>）；</w:t>
      </w:r>
    </w:p>
    <w:p w14:paraId="4963AB00">
      <w:pPr>
        <w:spacing w:line="360" w:lineRule="auto"/>
        <w:ind w:firstLine="640" w:firstLineChars="200"/>
        <w:rPr>
          <w:rFonts w:ascii="Times New Roman" w:hAnsi="Times New Roman"/>
        </w:rPr>
      </w:pPr>
      <w:r>
        <w:rPr>
          <w:rFonts w:hint="eastAsia" w:ascii="Times New Roman" w:hAnsi="Times New Roman"/>
        </w:rPr>
        <w:t>5.《海洋生物质量》（</w:t>
      </w:r>
      <w:r>
        <w:rPr>
          <w:rFonts w:ascii="Times New Roman" w:hAnsi="Times New Roman"/>
        </w:rPr>
        <w:t>GB18421-2001</w:t>
      </w:r>
      <w:r>
        <w:rPr>
          <w:rFonts w:hint="eastAsia" w:ascii="Times New Roman" w:hAnsi="Times New Roman"/>
        </w:rPr>
        <w:t>）；</w:t>
      </w:r>
    </w:p>
    <w:p w14:paraId="3CB448A8">
      <w:pPr>
        <w:spacing w:line="360" w:lineRule="auto"/>
        <w:ind w:firstLine="640" w:firstLineChars="200"/>
        <w:rPr>
          <w:rFonts w:ascii="Times New Roman" w:hAnsi="Times New Roman"/>
        </w:rPr>
      </w:pPr>
      <w:r>
        <w:rPr>
          <w:rFonts w:hint="eastAsia"/>
        </w:rPr>
        <w:t>6.《全国海岸带和海涂资源综合调查简明规程》；</w:t>
      </w:r>
    </w:p>
    <w:p w14:paraId="3A29FBDD">
      <w:pPr>
        <w:spacing w:line="360" w:lineRule="auto"/>
        <w:ind w:firstLine="640" w:firstLineChars="200"/>
        <w:rPr>
          <w:rFonts w:ascii="Times New Roman" w:hAnsi="Times New Roman"/>
        </w:rPr>
      </w:pPr>
      <w:r>
        <w:rPr>
          <w:rFonts w:hint="eastAsia" w:ascii="Times New Roman" w:hAnsi="Times New Roman"/>
        </w:rPr>
        <w:t>7.</w:t>
      </w:r>
      <w:r>
        <w:rPr>
          <w:rFonts w:hint="eastAsia"/>
        </w:rPr>
        <w:t>《第二次全国海洋污染基线调查技术规程》；</w:t>
      </w:r>
    </w:p>
    <w:p w14:paraId="37F2867E">
      <w:pPr>
        <w:spacing w:line="360" w:lineRule="auto"/>
        <w:ind w:firstLine="640" w:firstLineChars="200"/>
        <w:rPr>
          <w:rFonts w:ascii="Times New Roman" w:hAnsi="Times New Roman"/>
        </w:rPr>
      </w:pPr>
      <w:r>
        <w:rPr>
          <w:rFonts w:hint="eastAsia" w:ascii="Times New Roman" w:hAnsi="Times New Roman"/>
        </w:rPr>
        <w:t>8.《大气污染物综合排放标准》（</w:t>
      </w:r>
      <w:r>
        <w:rPr>
          <w:rFonts w:ascii="Times New Roman" w:hAnsi="Times New Roman"/>
        </w:rPr>
        <w:t>GB16297-1996</w:t>
      </w:r>
      <w:r>
        <w:rPr>
          <w:rFonts w:hint="eastAsia" w:ascii="Times New Roman" w:hAnsi="Times New Roman"/>
        </w:rPr>
        <w:t>）；</w:t>
      </w:r>
    </w:p>
    <w:p w14:paraId="0CD47640">
      <w:pPr>
        <w:spacing w:line="360" w:lineRule="auto"/>
        <w:ind w:firstLine="640" w:firstLineChars="200"/>
        <w:rPr>
          <w:rFonts w:ascii="Times New Roman" w:hAnsi="Times New Roman"/>
        </w:rPr>
      </w:pPr>
      <w:r>
        <w:rPr>
          <w:rFonts w:hint="eastAsia" w:ascii="Times New Roman" w:hAnsi="Times New Roman"/>
        </w:rPr>
        <w:t>9.《建筑施工场界环境噪声排放标准》（</w:t>
      </w:r>
      <w:r>
        <w:rPr>
          <w:rFonts w:ascii="Times New Roman" w:hAnsi="Times New Roman"/>
        </w:rPr>
        <w:t>GB</w:t>
      </w:r>
      <w:r>
        <w:rPr>
          <w:rFonts w:hint="eastAsia" w:ascii="Times New Roman" w:hAnsi="Times New Roman"/>
        </w:rPr>
        <w:t>12523</w:t>
      </w:r>
      <w:r>
        <w:rPr>
          <w:rFonts w:ascii="Times New Roman" w:hAnsi="Times New Roman"/>
        </w:rPr>
        <w:t>0-20</w:t>
      </w:r>
      <w:r>
        <w:rPr>
          <w:rFonts w:hint="eastAsia" w:ascii="Times New Roman" w:hAnsi="Times New Roman"/>
        </w:rPr>
        <w:t>11）；</w:t>
      </w:r>
    </w:p>
    <w:p w14:paraId="7A034C6E">
      <w:pPr>
        <w:spacing w:line="360" w:lineRule="auto"/>
        <w:ind w:firstLine="640" w:firstLineChars="200"/>
        <w:rPr>
          <w:rFonts w:ascii="Times New Roman" w:hAnsi="Times New Roman"/>
        </w:rPr>
      </w:pPr>
      <w:r>
        <w:rPr>
          <w:rFonts w:hint="eastAsia" w:ascii="Times New Roman" w:hAnsi="Times New Roman"/>
        </w:rPr>
        <w:t>10《工业企业厂界环境噪声标准》（</w:t>
      </w:r>
      <w:r>
        <w:rPr>
          <w:rFonts w:ascii="Times New Roman" w:hAnsi="Times New Roman"/>
        </w:rPr>
        <w:t>GB12348-2008</w:t>
      </w:r>
      <w:r>
        <w:rPr>
          <w:rFonts w:hint="eastAsia" w:ascii="Times New Roman" w:hAnsi="Times New Roman"/>
        </w:rPr>
        <w:t>）</w:t>
      </w:r>
      <w:r>
        <w:rPr>
          <w:rFonts w:ascii="Times New Roman" w:hAnsi="Times New Roman"/>
        </w:rPr>
        <w:t>3</w:t>
      </w:r>
      <w:r>
        <w:rPr>
          <w:rFonts w:hint="eastAsia" w:ascii="Times New Roman" w:hAnsi="Times New Roman"/>
        </w:rPr>
        <w:t>类；</w:t>
      </w:r>
    </w:p>
    <w:p w14:paraId="68FF2A17">
      <w:pPr>
        <w:spacing w:line="360" w:lineRule="auto"/>
        <w:ind w:firstLine="640" w:firstLineChars="200"/>
        <w:rPr>
          <w:rFonts w:ascii="Times New Roman" w:hAnsi="Times New Roman"/>
        </w:rPr>
      </w:pPr>
      <w:r>
        <w:rPr>
          <w:rFonts w:hint="eastAsia" w:ascii="Times New Roman" w:hAnsi="Times New Roman"/>
        </w:rPr>
        <w:t>11.《船舶水污染物排放控制标准》（</w:t>
      </w:r>
      <w:r>
        <w:rPr>
          <w:rFonts w:ascii="Times New Roman" w:hAnsi="Times New Roman"/>
        </w:rPr>
        <w:t>GB</w:t>
      </w:r>
      <w:r>
        <w:rPr>
          <w:rFonts w:hint="eastAsia" w:ascii="Times New Roman" w:hAnsi="Times New Roman"/>
        </w:rPr>
        <w:t>3552</w:t>
      </w:r>
      <w:r>
        <w:rPr>
          <w:rFonts w:ascii="Times New Roman" w:hAnsi="Times New Roman"/>
        </w:rPr>
        <w:t>-20</w:t>
      </w:r>
      <w:r>
        <w:rPr>
          <w:rFonts w:hint="eastAsia" w:ascii="Times New Roman" w:hAnsi="Times New Roman"/>
        </w:rPr>
        <w:t>18）。</w:t>
      </w:r>
    </w:p>
    <w:p w14:paraId="5C544F63">
      <w:pPr>
        <w:spacing w:line="360" w:lineRule="auto"/>
        <w:ind w:firstLine="640" w:firstLineChars="200"/>
        <w:rPr>
          <w:rFonts w:ascii="Times New Roman" w:hAnsi="Times New Roman"/>
        </w:rPr>
      </w:pPr>
      <w:r>
        <w:rPr>
          <w:rFonts w:ascii="Times New Roman"/>
        </w:rPr>
        <w:t>此复</w:t>
      </w:r>
    </w:p>
    <w:p w14:paraId="1DEB5429">
      <w:pPr>
        <w:spacing w:line="360" w:lineRule="auto"/>
        <w:jc w:val="right"/>
        <w:rPr>
          <w:rFonts w:ascii="Times New Roman" w:hAnsi="Times New Roman"/>
        </w:rPr>
      </w:pPr>
    </w:p>
    <w:p w14:paraId="16930F27">
      <w:pPr>
        <w:spacing w:line="360" w:lineRule="auto"/>
        <w:jc w:val="right"/>
        <w:rPr>
          <w:rFonts w:ascii="Times New Roman" w:hAnsi="Times New Roman"/>
        </w:rPr>
      </w:pPr>
    </w:p>
    <w:p w14:paraId="6C9077C8">
      <w:pPr>
        <w:spacing w:line="360" w:lineRule="auto"/>
        <w:jc w:val="right"/>
        <w:rPr>
          <w:rFonts w:ascii="Times New Roman" w:hAnsi="Times New Roman"/>
        </w:rPr>
      </w:pPr>
    </w:p>
    <w:p w14:paraId="7C58EFDC">
      <w:pPr>
        <w:spacing w:line="360" w:lineRule="auto"/>
        <w:jc w:val="right"/>
        <w:rPr>
          <w:rFonts w:ascii="Times New Roman" w:hAnsi="Times New Roman"/>
        </w:rPr>
      </w:pPr>
    </w:p>
    <w:p w14:paraId="46F88199">
      <w:pPr>
        <w:spacing w:line="360" w:lineRule="auto"/>
        <w:jc w:val="right"/>
        <w:rPr>
          <w:rFonts w:ascii="Times New Roman" w:hAnsi="Times New Roman"/>
        </w:rPr>
      </w:pPr>
    </w:p>
    <w:p w14:paraId="38B01949">
      <w:pPr>
        <w:wordWrap w:val="0"/>
        <w:spacing w:line="360" w:lineRule="auto"/>
        <w:jc w:val="right"/>
        <w:rPr>
          <w:rFonts w:ascii="Times New Roman"/>
        </w:rPr>
      </w:pPr>
      <w:r>
        <w:rPr>
          <w:rFonts w:hint="eastAsia" w:ascii="Times New Roman" w:hAnsi="Times New Roman"/>
        </w:rPr>
        <w:t xml:space="preserve"> </w:t>
      </w:r>
      <w:r>
        <w:rPr>
          <w:rFonts w:ascii="Times New Roman" w:hAnsi="Times New Roman"/>
        </w:rPr>
        <w:t>202</w:t>
      </w:r>
      <w:r>
        <w:rPr>
          <w:rFonts w:hint="eastAsia" w:ascii="Times New Roman" w:hAnsi="Times New Roman"/>
        </w:rPr>
        <w:t>4</w:t>
      </w:r>
      <w:r>
        <w:rPr>
          <w:rFonts w:ascii="Times New Roman"/>
        </w:rPr>
        <w:t>年</w:t>
      </w:r>
      <w:r>
        <w:rPr>
          <w:rFonts w:hint="eastAsia" w:ascii="Times New Roman" w:hAnsi="Times New Roman"/>
        </w:rPr>
        <w:t>12</w:t>
      </w:r>
      <w:r>
        <w:rPr>
          <w:rFonts w:ascii="Times New Roman"/>
        </w:rPr>
        <w:t>月</w:t>
      </w:r>
      <w:r>
        <w:rPr>
          <w:rFonts w:hint="eastAsia" w:ascii="Times New Roman" w:hAnsi="Times New Roman"/>
        </w:rPr>
        <w:t>31</w:t>
      </w:r>
      <w:r>
        <w:rPr>
          <w:rFonts w:ascii="Times New Roman"/>
        </w:rPr>
        <w:t>日</w:t>
      </w:r>
      <w:r>
        <w:rPr>
          <w:rFonts w:hint="eastAsia" w:ascii="Times New Roman"/>
        </w:rPr>
        <w:t xml:space="preserve">         </w:t>
      </w:r>
    </w:p>
    <w:p w14:paraId="624ABC96">
      <w:pPr>
        <w:spacing w:line="360" w:lineRule="auto"/>
        <w:jc w:val="right"/>
        <w:rPr>
          <w:rFonts w:ascii="Times New Roman"/>
        </w:rPr>
      </w:pPr>
    </w:p>
    <w:p w14:paraId="2F6F7DC5">
      <w:pPr>
        <w:spacing w:line="360" w:lineRule="auto"/>
        <w:jc w:val="right"/>
        <w:rPr>
          <w:rFonts w:ascii="Times New Roman"/>
        </w:rPr>
      </w:pPr>
    </w:p>
    <w:p w14:paraId="2B1DEE55">
      <w:pPr>
        <w:spacing w:line="360" w:lineRule="auto"/>
        <w:jc w:val="right"/>
        <w:rPr>
          <w:rFonts w:ascii="Times New Roman"/>
        </w:rPr>
      </w:pPr>
    </w:p>
    <w:p w14:paraId="5605BBF8">
      <w:pPr>
        <w:spacing w:line="360" w:lineRule="auto"/>
        <w:jc w:val="right"/>
        <w:rPr>
          <w:rFonts w:ascii="Times New Roman"/>
        </w:rPr>
      </w:pPr>
    </w:p>
    <w:p w14:paraId="232C556C">
      <w:pPr>
        <w:spacing w:line="360" w:lineRule="auto"/>
        <w:jc w:val="right"/>
        <w:rPr>
          <w:rFonts w:ascii="Times New Roman" w:hAnsi="Times New Roman"/>
        </w:rPr>
      </w:pPr>
      <w:r>
        <w:rPr>
          <w:rFonts w:hint="eastAsia" w:ascii="Times New Roman"/>
        </w:rPr>
        <w:t xml:space="preserve">      </w:t>
      </w:r>
    </w:p>
    <w:p w14:paraId="53162172">
      <w:pPr>
        <w:spacing w:line="360" w:lineRule="auto"/>
        <w:rPr>
          <w:rFonts w:eastAsia="黑体"/>
        </w:rPr>
      </w:pPr>
    </w:p>
    <w:p w14:paraId="5C2AB1B2">
      <w:pPr>
        <w:spacing w:line="360" w:lineRule="auto"/>
      </w:pPr>
      <w:r>
        <w:rPr>
          <w:rFonts w:eastAsia="黑体"/>
        </w:rPr>
        <w:t>主题词：</w:t>
      </w:r>
      <w:r>
        <w:t>环境影响 报告</w:t>
      </w:r>
      <w:r>
        <w:rPr>
          <w:rFonts w:hint="eastAsia"/>
        </w:rPr>
        <w:t>书</w:t>
      </w:r>
      <w:r>
        <w:t xml:space="preserve"> 批复                （共印</w:t>
      </w:r>
      <w:r>
        <w:rPr>
          <w:rFonts w:hint="eastAsia"/>
        </w:rPr>
        <w:t>3</w:t>
      </w:r>
      <w:r>
        <w:t>份）</w:t>
      </w:r>
    </w:p>
    <w:tbl>
      <w:tblPr>
        <w:tblStyle w:val="9"/>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242"/>
        <w:gridCol w:w="3922"/>
        <w:gridCol w:w="3890"/>
      </w:tblGrid>
      <w:tr w14:paraId="2D920E33">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1242" w:type="dxa"/>
            <w:tcBorders>
              <w:top w:val="single" w:color="auto" w:sz="8" w:space="0"/>
              <w:bottom w:val="single" w:color="auto" w:sz="8" w:space="0"/>
            </w:tcBorders>
          </w:tcPr>
          <w:p w14:paraId="76BB7E3A">
            <w:pPr>
              <w:spacing w:line="360" w:lineRule="auto"/>
              <w:ind w:right="160"/>
              <w:jc w:val="right"/>
              <w:rPr>
                <w:rFonts w:eastAsia="黑体"/>
              </w:rPr>
            </w:pPr>
            <w:r>
              <w:rPr>
                <w:rFonts w:eastAsia="黑体"/>
              </w:rPr>
              <w:t>抄送：</w:t>
            </w:r>
          </w:p>
        </w:tc>
        <w:tc>
          <w:tcPr>
            <w:tcW w:w="7812" w:type="dxa"/>
            <w:gridSpan w:val="2"/>
            <w:tcBorders>
              <w:top w:val="single" w:color="auto" w:sz="8" w:space="0"/>
              <w:bottom w:val="single" w:color="auto" w:sz="8" w:space="0"/>
            </w:tcBorders>
          </w:tcPr>
          <w:p w14:paraId="0051EE91">
            <w:pPr>
              <w:spacing w:line="360" w:lineRule="auto"/>
            </w:pPr>
            <w:r>
              <w:t>天津市滨海新区</w:t>
            </w:r>
            <w:r>
              <w:rPr>
                <w:rFonts w:hint="eastAsia"/>
              </w:rPr>
              <w:t>生态</w:t>
            </w:r>
            <w:r>
              <w:t>环境局</w:t>
            </w:r>
          </w:p>
        </w:tc>
      </w:tr>
      <w:tr w14:paraId="23565E87">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5164" w:type="dxa"/>
            <w:gridSpan w:val="2"/>
            <w:tcBorders>
              <w:top w:val="single" w:color="auto" w:sz="8" w:space="0"/>
            </w:tcBorders>
          </w:tcPr>
          <w:p w14:paraId="1876526A">
            <w:pPr>
              <w:spacing w:line="360" w:lineRule="auto"/>
            </w:pPr>
            <w:r>
              <w:rPr>
                <w:rFonts w:hint="eastAsia"/>
              </w:rPr>
              <w:t>天津市滨海新区行政审批局</w:t>
            </w:r>
          </w:p>
        </w:tc>
        <w:tc>
          <w:tcPr>
            <w:tcW w:w="3890" w:type="dxa"/>
            <w:tcBorders>
              <w:top w:val="single" w:color="auto" w:sz="8" w:space="0"/>
            </w:tcBorders>
          </w:tcPr>
          <w:p w14:paraId="7EE34EFC">
            <w:pPr>
              <w:spacing w:line="360" w:lineRule="auto"/>
              <w:ind w:right="320" w:rightChars="100"/>
              <w:jc w:val="right"/>
            </w:pPr>
            <w:r>
              <w:rPr>
                <w:rFonts w:ascii="Times New Roman" w:hAnsi="Times New Roman"/>
              </w:rPr>
              <w:t>20</w:t>
            </w:r>
            <w:r>
              <w:rPr>
                <w:rFonts w:hint="eastAsia" w:ascii="Times New Roman" w:hAnsi="Times New Roman"/>
              </w:rPr>
              <w:t>24</w:t>
            </w:r>
            <w:r>
              <w:rPr>
                <w:rFonts w:ascii="Times New Roman" w:hAnsi="Times New Roman"/>
              </w:rPr>
              <w:t>年</w:t>
            </w:r>
            <w:r>
              <w:rPr>
                <w:rFonts w:hint="eastAsia" w:ascii="Times New Roman" w:hAnsi="Times New Roman"/>
              </w:rPr>
              <w:t>12月31</w:t>
            </w:r>
            <w:r>
              <w:rPr>
                <w:rFonts w:ascii="Times New Roman" w:hAnsi="Times New Roman"/>
              </w:rPr>
              <w:t>日</w:t>
            </w:r>
            <w:r>
              <w:t>印发</w:t>
            </w:r>
          </w:p>
        </w:tc>
      </w:tr>
    </w:tbl>
    <w:p w14:paraId="6F9AA80C"/>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sdtPr>
    <w:sdtContent>
      <w:p w14:paraId="01265AB5">
        <w:pPr>
          <w:pStyle w:val="8"/>
          <w:jc w:val="center"/>
        </w:pPr>
        <w:r>
          <w:fldChar w:fldCharType="begin"/>
        </w:r>
        <w:r>
          <w:instrText xml:space="preserve"> PAGE   \* MERGEFORMAT </w:instrText>
        </w:r>
        <w:r>
          <w:fldChar w:fldCharType="separate"/>
        </w:r>
        <w:r>
          <w:rPr>
            <w:lang w:val="zh-CN"/>
          </w:rPr>
          <w:t>5</w:t>
        </w:r>
        <w:r>
          <w:rPr>
            <w:lang w:val="zh-CN"/>
          </w:rPr>
          <w:fldChar w:fldCharType="end"/>
        </w:r>
      </w:p>
    </w:sdtContent>
  </w:sdt>
  <w:p w14:paraId="1A13CB2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1065">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E4B9D"/>
    <w:rsid w:val="000000ED"/>
    <w:rsid w:val="00000CDF"/>
    <w:rsid w:val="00002A0A"/>
    <w:rsid w:val="00002C12"/>
    <w:rsid w:val="000077E5"/>
    <w:rsid w:val="00017063"/>
    <w:rsid w:val="00017EFA"/>
    <w:rsid w:val="00021047"/>
    <w:rsid w:val="00024412"/>
    <w:rsid w:val="00024787"/>
    <w:rsid w:val="00032953"/>
    <w:rsid w:val="0003541A"/>
    <w:rsid w:val="00040AD7"/>
    <w:rsid w:val="00047C18"/>
    <w:rsid w:val="000548CC"/>
    <w:rsid w:val="00056885"/>
    <w:rsid w:val="00062FED"/>
    <w:rsid w:val="00063BE2"/>
    <w:rsid w:val="00064CC1"/>
    <w:rsid w:val="00067FD5"/>
    <w:rsid w:val="00077ADA"/>
    <w:rsid w:val="00077B4E"/>
    <w:rsid w:val="00080A98"/>
    <w:rsid w:val="000834E6"/>
    <w:rsid w:val="00085EF5"/>
    <w:rsid w:val="0008666F"/>
    <w:rsid w:val="000931B0"/>
    <w:rsid w:val="000931CA"/>
    <w:rsid w:val="0009352D"/>
    <w:rsid w:val="00093F69"/>
    <w:rsid w:val="00094FD7"/>
    <w:rsid w:val="00096062"/>
    <w:rsid w:val="00097DA8"/>
    <w:rsid w:val="000A0A7C"/>
    <w:rsid w:val="000C2100"/>
    <w:rsid w:val="000D1DDA"/>
    <w:rsid w:val="000D45D0"/>
    <w:rsid w:val="000E069B"/>
    <w:rsid w:val="000E1CBE"/>
    <w:rsid w:val="000E209C"/>
    <w:rsid w:val="000F7EEF"/>
    <w:rsid w:val="0011736F"/>
    <w:rsid w:val="0012627B"/>
    <w:rsid w:val="00127AE7"/>
    <w:rsid w:val="00131E9C"/>
    <w:rsid w:val="00151F7B"/>
    <w:rsid w:val="00155A9A"/>
    <w:rsid w:val="001602A8"/>
    <w:rsid w:val="001663F8"/>
    <w:rsid w:val="001708D6"/>
    <w:rsid w:val="00183379"/>
    <w:rsid w:val="0019193B"/>
    <w:rsid w:val="00195540"/>
    <w:rsid w:val="001A21BB"/>
    <w:rsid w:val="001B066E"/>
    <w:rsid w:val="001C0D5B"/>
    <w:rsid w:val="001C71C4"/>
    <w:rsid w:val="001D403C"/>
    <w:rsid w:val="001D55C1"/>
    <w:rsid w:val="001E44A6"/>
    <w:rsid w:val="001F3EDC"/>
    <w:rsid w:val="002014D5"/>
    <w:rsid w:val="00203B29"/>
    <w:rsid w:val="00210B83"/>
    <w:rsid w:val="00210E1E"/>
    <w:rsid w:val="002225C4"/>
    <w:rsid w:val="002336F1"/>
    <w:rsid w:val="0024430E"/>
    <w:rsid w:val="0024456C"/>
    <w:rsid w:val="0024608A"/>
    <w:rsid w:val="00257406"/>
    <w:rsid w:val="00261B2D"/>
    <w:rsid w:val="00264D72"/>
    <w:rsid w:val="0027460C"/>
    <w:rsid w:val="00275DD8"/>
    <w:rsid w:val="00282601"/>
    <w:rsid w:val="0028401F"/>
    <w:rsid w:val="002858A4"/>
    <w:rsid w:val="002A2E15"/>
    <w:rsid w:val="002A61D2"/>
    <w:rsid w:val="002B2446"/>
    <w:rsid w:val="002B607C"/>
    <w:rsid w:val="002B7DD3"/>
    <w:rsid w:val="002C15B6"/>
    <w:rsid w:val="002D399F"/>
    <w:rsid w:val="002D4DA6"/>
    <w:rsid w:val="002D7082"/>
    <w:rsid w:val="002D7B03"/>
    <w:rsid w:val="002E692F"/>
    <w:rsid w:val="00310B46"/>
    <w:rsid w:val="00310D90"/>
    <w:rsid w:val="00325C11"/>
    <w:rsid w:val="00326071"/>
    <w:rsid w:val="003276C0"/>
    <w:rsid w:val="00330A22"/>
    <w:rsid w:val="00336F06"/>
    <w:rsid w:val="00344556"/>
    <w:rsid w:val="00346E41"/>
    <w:rsid w:val="00351A82"/>
    <w:rsid w:val="003631B1"/>
    <w:rsid w:val="00367886"/>
    <w:rsid w:val="00371D93"/>
    <w:rsid w:val="00371F2C"/>
    <w:rsid w:val="0037351B"/>
    <w:rsid w:val="00373B1A"/>
    <w:rsid w:val="00374E8D"/>
    <w:rsid w:val="00380065"/>
    <w:rsid w:val="0039472D"/>
    <w:rsid w:val="00395C48"/>
    <w:rsid w:val="003A0AF9"/>
    <w:rsid w:val="003A397F"/>
    <w:rsid w:val="003A3EBD"/>
    <w:rsid w:val="003C657C"/>
    <w:rsid w:val="003D7B4C"/>
    <w:rsid w:val="003E18B7"/>
    <w:rsid w:val="003E29CF"/>
    <w:rsid w:val="003F04B9"/>
    <w:rsid w:val="0040020E"/>
    <w:rsid w:val="00404088"/>
    <w:rsid w:val="0041139B"/>
    <w:rsid w:val="004206D8"/>
    <w:rsid w:val="00421E27"/>
    <w:rsid w:val="0042398D"/>
    <w:rsid w:val="00427887"/>
    <w:rsid w:val="00431B4A"/>
    <w:rsid w:val="0043662D"/>
    <w:rsid w:val="004614CE"/>
    <w:rsid w:val="004646FB"/>
    <w:rsid w:val="004703E9"/>
    <w:rsid w:val="00471DD2"/>
    <w:rsid w:val="00475631"/>
    <w:rsid w:val="00482733"/>
    <w:rsid w:val="004831E2"/>
    <w:rsid w:val="00485E50"/>
    <w:rsid w:val="00495B78"/>
    <w:rsid w:val="004969DE"/>
    <w:rsid w:val="004A4F11"/>
    <w:rsid w:val="004A5E5A"/>
    <w:rsid w:val="004A5F7D"/>
    <w:rsid w:val="004B1790"/>
    <w:rsid w:val="004B1B4C"/>
    <w:rsid w:val="004B1D77"/>
    <w:rsid w:val="004B344A"/>
    <w:rsid w:val="004B6554"/>
    <w:rsid w:val="004B6CF6"/>
    <w:rsid w:val="004C3DA0"/>
    <w:rsid w:val="004C45DF"/>
    <w:rsid w:val="004C5D6A"/>
    <w:rsid w:val="004E63D4"/>
    <w:rsid w:val="004F193A"/>
    <w:rsid w:val="004F1A8C"/>
    <w:rsid w:val="004F5D03"/>
    <w:rsid w:val="004F6BF9"/>
    <w:rsid w:val="005128CD"/>
    <w:rsid w:val="00514D56"/>
    <w:rsid w:val="00520063"/>
    <w:rsid w:val="00524D55"/>
    <w:rsid w:val="00527202"/>
    <w:rsid w:val="00535942"/>
    <w:rsid w:val="005413E6"/>
    <w:rsid w:val="00542C61"/>
    <w:rsid w:val="005537B6"/>
    <w:rsid w:val="005763CA"/>
    <w:rsid w:val="00577495"/>
    <w:rsid w:val="00585DE1"/>
    <w:rsid w:val="00585EB7"/>
    <w:rsid w:val="005860F7"/>
    <w:rsid w:val="00597D45"/>
    <w:rsid w:val="005A2320"/>
    <w:rsid w:val="005A39AF"/>
    <w:rsid w:val="005A3B98"/>
    <w:rsid w:val="005A58A9"/>
    <w:rsid w:val="005A6D2D"/>
    <w:rsid w:val="005B1982"/>
    <w:rsid w:val="005B2AAF"/>
    <w:rsid w:val="005C302C"/>
    <w:rsid w:val="005C7246"/>
    <w:rsid w:val="005E1F3E"/>
    <w:rsid w:val="005E26E7"/>
    <w:rsid w:val="005E2FEA"/>
    <w:rsid w:val="005E4B9D"/>
    <w:rsid w:val="005F1ECA"/>
    <w:rsid w:val="005F2674"/>
    <w:rsid w:val="005F4F6F"/>
    <w:rsid w:val="00611936"/>
    <w:rsid w:val="00613E5D"/>
    <w:rsid w:val="00635419"/>
    <w:rsid w:val="00635EA9"/>
    <w:rsid w:val="00637D80"/>
    <w:rsid w:val="00641676"/>
    <w:rsid w:val="00641E4D"/>
    <w:rsid w:val="00644BE7"/>
    <w:rsid w:val="00645767"/>
    <w:rsid w:val="0065312E"/>
    <w:rsid w:val="00660EAC"/>
    <w:rsid w:val="006617DA"/>
    <w:rsid w:val="006618CE"/>
    <w:rsid w:val="006643DB"/>
    <w:rsid w:val="00672AB5"/>
    <w:rsid w:val="006814DD"/>
    <w:rsid w:val="00687F41"/>
    <w:rsid w:val="0069481E"/>
    <w:rsid w:val="006952E6"/>
    <w:rsid w:val="006A3C27"/>
    <w:rsid w:val="006A3CA1"/>
    <w:rsid w:val="006B0572"/>
    <w:rsid w:val="006C5EDA"/>
    <w:rsid w:val="006C666D"/>
    <w:rsid w:val="006C6966"/>
    <w:rsid w:val="006C7509"/>
    <w:rsid w:val="006D0535"/>
    <w:rsid w:val="006E089C"/>
    <w:rsid w:val="006E29BD"/>
    <w:rsid w:val="006E7736"/>
    <w:rsid w:val="0070112D"/>
    <w:rsid w:val="007136AA"/>
    <w:rsid w:val="0073526A"/>
    <w:rsid w:val="00736F05"/>
    <w:rsid w:val="00745C96"/>
    <w:rsid w:val="00746C49"/>
    <w:rsid w:val="00764376"/>
    <w:rsid w:val="0077289E"/>
    <w:rsid w:val="007770C6"/>
    <w:rsid w:val="00783770"/>
    <w:rsid w:val="007838F6"/>
    <w:rsid w:val="00785125"/>
    <w:rsid w:val="007878B2"/>
    <w:rsid w:val="007937C9"/>
    <w:rsid w:val="007A22B2"/>
    <w:rsid w:val="007A42BF"/>
    <w:rsid w:val="007A62CF"/>
    <w:rsid w:val="007A70F9"/>
    <w:rsid w:val="007B600E"/>
    <w:rsid w:val="007C49A0"/>
    <w:rsid w:val="007C5CCE"/>
    <w:rsid w:val="007E0239"/>
    <w:rsid w:val="007F3A11"/>
    <w:rsid w:val="007F45F1"/>
    <w:rsid w:val="007F7F4B"/>
    <w:rsid w:val="00800908"/>
    <w:rsid w:val="0082033A"/>
    <w:rsid w:val="00836613"/>
    <w:rsid w:val="00854762"/>
    <w:rsid w:val="008773DC"/>
    <w:rsid w:val="0088082E"/>
    <w:rsid w:val="00880ACF"/>
    <w:rsid w:val="00885FE3"/>
    <w:rsid w:val="00890A95"/>
    <w:rsid w:val="0089128F"/>
    <w:rsid w:val="008B3585"/>
    <w:rsid w:val="008B64A3"/>
    <w:rsid w:val="008B7F60"/>
    <w:rsid w:val="008E337A"/>
    <w:rsid w:val="008E7A7C"/>
    <w:rsid w:val="00900D4B"/>
    <w:rsid w:val="00905F97"/>
    <w:rsid w:val="00914185"/>
    <w:rsid w:val="00915B0E"/>
    <w:rsid w:val="009329D7"/>
    <w:rsid w:val="00932A5B"/>
    <w:rsid w:val="0093523F"/>
    <w:rsid w:val="009405B8"/>
    <w:rsid w:val="00943995"/>
    <w:rsid w:val="00951076"/>
    <w:rsid w:val="00960614"/>
    <w:rsid w:val="00962EEA"/>
    <w:rsid w:val="00971CA7"/>
    <w:rsid w:val="00975A90"/>
    <w:rsid w:val="00983896"/>
    <w:rsid w:val="00987274"/>
    <w:rsid w:val="00992890"/>
    <w:rsid w:val="009A01DB"/>
    <w:rsid w:val="009A26A1"/>
    <w:rsid w:val="009A38D1"/>
    <w:rsid w:val="009A6638"/>
    <w:rsid w:val="009B3B1A"/>
    <w:rsid w:val="009B694E"/>
    <w:rsid w:val="009C1AD6"/>
    <w:rsid w:val="009C2978"/>
    <w:rsid w:val="009D0145"/>
    <w:rsid w:val="009D2836"/>
    <w:rsid w:val="009D5CD3"/>
    <w:rsid w:val="009E34EE"/>
    <w:rsid w:val="00A1098A"/>
    <w:rsid w:val="00A144E3"/>
    <w:rsid w:val="00A17D40"/>
    <w:rsid w:val="00A21502"/>
    <w:rsid w:val="00A270E7"/>
    <w:rsid w:val="00A27792"/>
    <w:rsid w:val="00A35072"/>
    <w:rsid w:val="00A373B9"/>
    <w:rsid w:val="00A46A05"/>
    <w:rsid w:val="00A47243"/>
    <w:rsid w:val="00A477A7"/>
    <w:rsid w:val="00A51802"/>
    <w:rsid w:val="00A55709"/>
    <w:rsid w:val="00A5585F"/>
    <w:rsid w:val="00A6581B"/>
    <w:rsid w:val="00A66C37"/>
    <w:rsid w:val="00A758FF"/>
    <w:rsid w:val="00A801C3"/>
    <w:rsid w:val="00A820B7"/>
    <w:rsid w:val="00A87B5F"/>
    <w:rsid w:val="00A952D5"/>
    <w:rsid w:val="00AA23AE"/>
    <w:rsid w:val="00AA52FC"/>
    <w:rsid w:val="00AB0337"/>
    <w:rsid w:val="00AB1BC3"/>
    <w:rsid w:val="00AB5754"/>
    <w:rsid w:val="00AC54A2"/>
    <w:rsid w:val="00AC6A51"/>
    <w:rsid w:val="00AD4B10"/>
    <w:rsid w:val="00AD5519"/>
    <w:rsid w:val="00AE2071"/>
    <w:rsid w:val="00AE21FC"/>
    <w:rsid w:val="00AE2FBB"/>
    <w:rsid w:val="00AE3626"/>
    <w:rsid w:val="00AE466E"/>
    <w:rsid w:val="00AE51DF"/>
    <w:rsid w:val="00AF1EA3"/>
    <w:rsid w:val="00AF6F47"/>
    <w:rsid w:val="00B01A96"/>
    <w:rsid w:val="00B01DED"/>
    <w:rsid w:val="00B02152"/>
    <w:rsid w:val="00B067C2"/>
    <w:rsid w:val="00B13FB6"/>
    <w:rsid w:val="00B31641"/>
    <w:rsid w:val="00B37379"/>
    <w:rsid w:val="00B56AAE"/>
    <w:rsid w:val="00B57588"/>
    <w:rsid w:val="00B624CD"/>
    <w:rsid w:val="00B673ED"/>
    <w:rsid w:val="00B70DC0"/>
    <w:rsid w:val="00B739DA"/>
    <w:rsid w:val="00B7639D"/>
    <w:rsid w:val="00B772F7"/>
    <w:rsid w:val="00B84011"/>
    <w:rsid w:val="00B95712"/>
    <w:rsid w:val="00BA02E4"/>
    <w:rsid w:val="00BA02ED"/>
    <w:rsid w:val="00BA2C98"/>
    <w:rsid w:val="00BC25B7"/>
    <w:rsid w:val="00BC3FF8"/>
    <w:rsid w:val="00BD4A63"/>
    <w:rsid w:val="00BE2F61"/>
    <w:rsid w:val="00BE38C8"/>
    <w:rsid w:val="00BE56E3"/>
    <w:rsid w:val="00BE5984"/>
    <w:rsid w:val="00BF5079"/>
    <w:rsid w:val="00BF708D"/>
    <w:rsid w:val="00BF77C8"/>
    <w:rsid w:val="00C0095E"/>
    <w:rsid w:val="00C04DD9"/>
    <w:rsid w:val="00C23FF7"/>
    <w:rsid w:val="00C2482D"/>
    <w:rsid w:val="00C24A81"/>
    <w:rsid w:val="00C24C19"/>
    <w:rsid w:val="00C26759"/>
    <w:rsid w:val="00C3090B"/>
    <w:rsid w:val="00C3660F"/>
    <w:rsid w:val="00C41EF9"/>
    <w:rsid w:val="00C5235E"/>
    <w:rsid w:val="00C65715"/>
    <w:rsid w:val="00C71D07"/>
    <w:rsid w:val="00C74B54"/>
    <w:rsid w:val="00C76135"/>
    <w:rsid w:val="00C76B70"/>
    <w:rsid w:val="00C870A1"/>
    <w:rsid w:val="00C93BD6"/>
    <w:rsid w:val="00CA32B3"/>
    <w:rsid w:val="00CA3FE5"/>
    <w:rsid w:val="00CB3B56"/>
    <w:rsid w:val="00CB445D"/>
    <w:rsid w:val="00CB5796"/>
    <w:rsid w:val="00CB5CD5"/>
    <w:rsid w:val="00CD60AB"/>
    <w:rsid w:val="00CE3A5A"/>
    <w:rsid w:val="00CE50C2"/>
    <w:rsid w:val="00CE727D"/>
    <w:rsid w:val="00D04168"/>
    <w:rsid w:val="00D05CEE"/>
    <w:rsid w:val="00D07579"/>
    <w:rsid w:val="00D2190F"/>
    <w:rsid w:val="00D23537"/>
    <w:rsid w:val="00D43EFC"/>
    <w:rsid w:val="00D5178D"/>
    <w:rsid w:val="00D52B0E"/>
    <w:rsid w:val="00D557A4"/>
    <w:rsid w:val="00D56CEF"/>
    <w:rsid w:val="00D60F28"/>
    <w:rsid w:val="00D64BF7"/>
    <w:rsid w:val="00D74BAE"/>
    <w:rsid w:val="00D94456"/>
    <w:rsid w:val="00D949FB"/>
    <w:rsid w:val="00D950F8"/>
    <w:rsid w:val="00D97348"/>
    <w:rsid w:val="00DA353D"/>
    <w:rsid w:val="00DB1C01"/>
    <w:rsid w:val="00DB2695"/>
    <w:rsid w:val="00DC203A"/>
    <w:rsid w:val="00DC4A11"/>
    <w:rsid w:val="00DD25A3"/>
    <w:rsid w:val="00DE780B"/>
    <w:rsid w:val="00DF37C0"/>
    <w:rsid w:val="00DF3855"/>
    <w:rsid w:val="00DF4F33"/>
    <w:rsid w:val="00E14527"/>
    <w:rsid w:val="00E163F4"/>
    <w:rsid w:val="00E22F90"/>
    <w:rsid w:val="00E2523D"/>
    <w:rsid w:val="00E27B84"/>
    <w:rsid w:val="00E312EA"/>
    <w:rsid w:val="00E45940"/>
    <w:rsid w:val="00E504D9"/>
    <w:rsid w:val="00E574A1"/>
    <w:rsid w:val="00E61662"/>
    <w:rsid w:val="00E63B55"/>
    <w:rsid w:val="00E73A6B"/>
    <w:rsid w:val="00E765CB"/>
    <w:rsid w:val="00E76CAF"/>
    <w:rsid w:val="00E821A2"/>
    <w:rsid w:val="00E95586"/>
    <w:rsid w:val="00EA018F"/>
    <w:rsid w:val="00EA0C0A"/>
    <w:rsid w:val="00EA62B3"/>
    <w:rsid w:val="00EA7883"/>
    <w:rsid w:val="00EA7F5E"/>
    <w:rsid w:val="00EC11B2"/>
    <w:rsid w:val="00EC51BA"/>
    <w:rsid w:val="00ED79C2"/>
    <w:rsid w:val="00EE1F06"/>
    <w:rsid w:val="00EE23A3"/>
    <w:rsid w:val="00F142DC"/>
    <w:rsid w:val="00F35AD7"/>
    <w:rsid w:val="00F4088D"/>
    <w:rsid w:val="00F44931"/>
    <w:rsid w:val="00F51346"/>
    <w:rsid w:val="00F53E4B"/>
    <w:rsid w:val="00F62653"/>
    <w:rsid w:val="00F74308"/>
    <w:rsid w:val="00FA5273"/>
    <w:rsid w:val="00FD223C"/>
    <w:rsid w:val="00FE7956"/>
    <w:rsid w:val="00FF2EEF"/>
    <w:rsid w:val="00FF61EA"/>
    <w:rsid w:val="01740FA6"/>
    <w:rsid w:val="026223A4"/>
    <w:rsid w:val="03277AEE"/>
    <w:rsid w:val="04794817"/>
    <w:rsid w:val="049F51EA"/>
    <w:rsid w:val="09BF05F1"/>
    <w:rsid w:val="0EBF5D6C"/>
    <w:rsid w:val="10C40B26"/>
    <w:rsid w:val="11860AFB"/>
    <w:rsid w:val="14645659"/>
    <w:rsid w:val="15906A89"/>
    <w:rsid w:val="17C66775"/>
    <w:rsid w:val="18770142"/>
    <w:rsid w:val="19A02B60"/>
    <w:rsid w:val="1B067D19"/>
    <w:rsid w:val="20BD4F1E"/>
    <w:rsid w:val="21FA61F2"/>
    <w:rsid w:val="22503B80"/>
    <w:rsid w:val="249C309C"/>
    <w:rsid w:val="298F17BF"/>
    <w:rsid w:val="2BE42BD3"/>
    <w:rsid w:val="2CA67E37"/>
    <w:rsid w:val="30F607F1"/>
    <w:rsid w:val="317136CD"/>
    <w:rsid w:val="31AC24EA"/>
    <w:rsid w:val="366337ED"/>
    <w:rsid w:val="3E0A124F"/>
    <w:rsid w:val="43727992"/>
    <w:rsid w:val="45933C72"/>
    <w:rsid w:val="472C15E5"/>
    <w:rsid w:val="4B4345C1"/>
    <w:rsid w:val="4C3B6976"/>
    <w:rsid w:val="51DC2670"/>
    <w:rsid w:val="548B2661"/>
    <w:rsid w:val="54C27A80"/>
    <w:rsid w:val="555761E8"/>
    <w:rsid w:val="57904998"/>
    <w:rsid w:val="5C690FBE"/>
    <w:rsid w:val="5CED210B"/>
    <w:rsid w:val="5FCA5CA8"/>
    <w:rsid w:val="61593D0C"/>
    <w:rsid w:val="623B37C7"/>
    <w:rsid w:val="625247BE"/>
    <w:rsid w:val="63D53BEC"/>
    <w:rsid w:val="67DB7004"/>
    <w:rsid w:val="68EB2C3F"/>
    <w:rsid w:val="68EC03E8"/>
    <w:rsid w:val="6CAC6DB4"/>
    <w:rsid w:val="6D53268A"/>
    <w:rsid w:val="6E5B3674"/>
    <w:rsid w:val="6F0736D9"/>
    <w:rsid w:val="73AF76A0"/>
    <w:rsid w:val="753C7334"/>
    <w:rsid w:val="76817CF6"/>
    <w:rsid w:val="7B7F61CD"/>
    <w:rsid w:val="7CF9758B"/>
    <w:rsid w:val="7F4738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Indent"/>
    <w:basedOn w:val="1"/>
    <w:link w:val="14"/>
    <w:qFormat/>
    <w:uiPriority w:val="0"/>
    <w:pPr>
      <w:ind w:firstLine="420" w:firstLineChars="200"/>
    </w:pPr>
  </w:style>
  <w:style w:type="paragraph" w:styleId="4">
    <w:name w:val="annotation text"/>
    <w:basedOn w:val="1"/>
    <w:link w:val="17"/>
    <w:qFormat/>
    <w:uiPriority w:val="0"/>
    <w:pPr>
      <w:jc w:val="left"/>
    </w:pPr>
  </w:style>
  <w:style w:type="paragraph" w:styleId="5">
    <w:name w:val="Body Text Indent"/>
    <w:basedOn w:val="1"/>
    <w:qFormat/>
    <w:uiPriority w:val="0"/>
    <w:pPr>
      <w:ind w:firstLine="600"/>
    </w:pPr>
    <w:rPr>
      <w:rFonts w:ascii="仿宋_GB2312"/>
      <w:sz w:val="30"/>
    </w:rPr>
  </w:style>
  <w:style w:type="paragraph" w:styleId="6">
    <w:name w:val="Date"/>
    <w:basedOn w:val="1"/>
    <w:next w:val="1"/>
    <w:link w:val="15"/>
    <w:uiPriority w:val="0"/>
    <w:pPr>
      <w:ind w:left="100" w:leftChars="2500"/>
    </w:pPr>
  </w:style>
  <w:style w:type="paragraph" w:styleId="7">
    <w:name w:val="Balloon Text"/>
    <w:basedOn w:val="1"/>
    <w:link w:val="16"/>
    <w:qFormat/>
    <w:uiPriority w:val="0"/>
    <w:rPr>
      <w:sz w:val="18"/>
      <w:szCs w:val="18"/>
    </w:rPr>
  </w:style>
  <w:style w:type="paragraph" w:styleId="8">
    <w:name w:val="footer"/>
    <w:basedOn w:val="1"/>
    <w:link w:val="11"/>
    <w:qFormat/>
    <w:uiPriority w:val="99"/>
    <w:pPr>
      <w:tabs>
        <w:tab w:val="center" w:pos="4153"/>
        <w:tab w:val="right" w:pos="8306"/>
      </w:tabs>
      <w:snapToGrid w:val="0"/>
      <w:jc w:val="left"/>
    </w:pPr>
    <w:rPr>
      <w:sz w:val="18"/>
      <w:szCs w:val="18"/>
    </w:rPr>
  </w:style>
  <w:style w:type="character" w:customStyle="1" w:styleId="11">
    <w:name w:val="页脚 Char"/>
    <w:basedOn w:val="10"/>
    <w:link w:val="8"/>
    <w:qFormat/>
    <w:uiPriority w:val="99"/>
    <w:rPr>
      <w:rFonts w:eastAsia="仿宋_GB2312"/>
      <w:kern w:val="2"/>
      <w:sz w:val="18"/>
      <w:szCs w:val="18"/>
    </w:rPr>
  </w:style>
  <w:style w:type="paragraph" w:customStyle="1" w:styleId="12">
    <w:name w:val="中文报告书样式"/>
    <w:basedOn w:val="1"/>
    <w:link w:val="13"/>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13">
    <w:name w:val="中文报告书样式 Char1"/>
    <w:basedOn w:val="10"/>
    <w:link w:val="12"/>
    <w:qFormat/>
    <w:locked/>
    <w:uiPriority w:val="0"/>
    <w:rPr>
      <w:rFonts w:ascii="Times New Roman" w:hAnsi="Times New Roman" w:eastAsia="仿宋_GB2312"/>
      <w:kern w:val="24"/>
      <w:sz w:val="24"/>
    </w:rPr>
  </w:style>
  <w:style w:type="character" w:customStyle="1" w:styleId="14">
    <w:name w:val="正文缩进 Char"/>
    <w:basedOn w:val="10"/>
    <w:link w:val="3"/>
    <w:qFormat/>
    <w:uiPriority w:val="0"/>
    <w:rPr>
      <w:rFonts w:eastAsia="仿宋_GB2312"/>
      <w:kern w:val="2"/>
      <w:sz w:val="32"/>
      <w:szCs w:val="32"/>
    </w:rPr>
  </w:style>
  <w:style w:type="character" w:customStyle="1" w:styleId="15">
    <w:name w:val="日期 Char"/>
    <w:basedOn w:val="10"/>
    <w:link w:val="6"/>
    <w:qFormat/>
    <w:uiPriority w:val="0"/>
    <w:rPr>
      <w:rFonts w:eastAsia="仿宋_GB2312"/>
      <w:kern w:val="2"/>
      <w:sz w:val="32"/>
      <w:szCs w:val="32"/>
    </w:rPr>
  </w:style>
  <w:style w:type="character" w:customStyle="1" w:styleId="16">
    <w:name w:val="批注框文本 Char"/>
    <w:basedOn w:val="10"/>
    <w:link w:val="7"/>
    <w:qFormat/>
    <w:uiPriority w:val="0"/>
    <w:rPr>
      <w:rFonts w:ascii="Calibri" w:hAnsi="Calibri" w:eastAsia="仿宋_GB2312"/>
      <w:kern w:val="2"/>
      <w:sz w:val="18"/>
      <w:szCs w:val="18"/>
    </w:rPr>
  </w:style>
  <w:style w:type="character" w:customStyle="1" w:styleId="17">
    <w:name w:val="批注文字 Char"/>
    <w:basedOn w:val="10"/>
    <w:link w:val="4"/>
    <w:qFormat/>
    <w:uiPriority w:val="0"/>
    <w:rPr>
      <w:rFonts w:ascii="Calibri" w:hAnsi="Calibri" w:eastAsia="仿宋_GB2312"/>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40005-F5DC-4929-BCE6-2F9F112724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351</Words>
  <Characters>2003</Characters>
  <Lines>16</Lines>
  <Paragraphs>4</Paragraphs>
  <TotalTime>457</TotalTime>
  <ScaleCrop>false</ScaleCrop>
  <LinksUpToDate>false</LinksUpToDate>
  <CharactersWithSpaces>2350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2017-08-16T02:57:00Z</dcterms:created>
  <dc:creator>Administrator</dc:creator>
  <cp:lastModifiedBy>dell</cp:lastModifiedBy>
  <cp:lastPrinted>2024-12-31T02:27:00Z</cp:lastPrinted>
  <dcterms:modified xsi:type="dcterms:W3CDTF">2025-01-03T07:26:53Z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41CAC6463FBF4D629676975235F61E16</vt:lpwstr>
  </property>
</Properties>
</file>