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FA61C">
      <w:pPr>
        <w:spacing w:line="360" w:lineRule="auto"/>
      </w:pPr>
    </w:p>
    <w:p w14:paraId="5A575072">
      <w:pPr>
        <w:spacing w:line="360" w:lineRule="auto"/>
      </w:pPr>
    </w:p>
    <w:p w14:paraId="5D5BD982"/>
    <w:p w14:paraId="083F3D40">
      <w:pPr>
        <w:spacing w:line="360" w:lineRule="auto"/>
        <w:jc w:val="center"/>
        <w:rPr>
          <w:rFonts w:ascii="仿宋_GB2312"/>
        </w:rPr>
      </w:pPr>
    </w:p>
    <w:p w14:paraId="591A3F4A">
      <w:pPr>
        <w:autoSpaceDE w:val="0"/>
        <w:autoSpaceDN w:val="0"/>
        <w:jc w:val="center"/>
        <w:rPr>
          <w:rFonts w:ascii="Times New Roman" w:hAnsi="Times New Roman"/>
        </w:rPr>
      </w:pPr>
      <w:r>
        <w:rPr>
          <w:rFonts w:hint="eastAsia" w:ascii="Times New Roman" w:hAnsi="Times New Roman"/>
          <w:lang w:val="zh-CN"/>
        </w:rPr>
        <w:t>津滨审批二室准〔2024〕</w:t>
      </w:r>
      <w:r>
        <w:rPr>
          <w:rFonts w:hint="eastAsia" w:ascii="Times New Roman" w:hAnsi="Times New Roman"/>
          <w:lang w:val="en-US" w:eastAsia="zh-CN"/>
        </w:rPr>
        <w:t>317</w:t>
      </w:r>
      <w:r>
        <w:rPr>
          <w:rFonts w:hint="eastAsia" w:ascii="Times New Roman" w:hAnsi="Times New Roman"/>
          <w:lang w:val="zh-CN"/>
        </w:rPr>
        <w:t xml:space="preserve">号 </w:t>
      </w:r>
      <w:bookmarkStart w:id="0" w:name="_GoBack"/>
      <w:bookmarkEnd w:id="0"/>
    </w:p>
    <w:p w14:paraId="1D269DE4">
      <w:pPr>
        <w:spacing w:line="580" w:lineRule="exact"/>
        <w:jc w:val="center"/>
        <w:rPr>
          <w:lang w:val="zh-CN"/>
        </w:rPr>
      </w:pPr>
      <w:r>
        <w:rPr>
          <w:rFonts w:hint="eastAsia"/>
          <w:lang w:val="zh-CN"/>
        </w:rPr>
        <w:t>（项目代码：</w:t>
      </w:r>
      <w:r>
        <w:rPr>
          <w:rFonts w:hint="eastAsia"/>
          <w:color w:val="auto"/>
          <w:lang w:val="zh-CN"/>
        </w:rPr>
        <w:t>241</w:t>
      </w:r>
      <w:r>
        <w:rPr>
          <w:rFonts w:hint="eastAsia"/>
          <w:color w:val="auto"/>
          <w:lang w:val="en-US" w:eastAsia="zh-CN"/>
        </w:rPr>
        <w:t>0</w:t>
      </w:r>
      <w:r>
        <w:rPr>
          <w:rFonts w:hint="eastAsia"/>
          <w:color w:val="auto"/>
          <w:lang w:val="zh-CN"/>
        </w:rPr>
        <w:t>-120116-89-05-</w:t>
      </w:r>
      <w:r>
        <w:rPr>
          <w:rFonts w:hint="eastAsia"/>
          <w:color w:val="auto"/>
          <w:lang w:val="en-US" w:eastAsia="zh-CN"/>
        </w:rPr>
        <w:t>871329</w:t>
      </w:r>
      <w:r>
        <w:rPr>
          <w:rFonts w:hint="eastAsia"/>
          <w:lang w:val="zh-CN"/>
        </w:rPr>
        <w:t>）</w:t>
      </w:r>
    </w:p>
    <w:p w14:paraId="30CC4E0C">
      <w:pPr>
        <w:spacing w:line="400" w:lineRule="exact"/>
        <w:jc w:val="center"/>
        <w:rPr>
          <w:b/>
          <w:color w:val="000000"/>
          <w:sz w:val="21"/>
          <w:szCs w:val="21"/>
        </w:rPr>
      </w:pPr>
    </w:p>
    <w:p w14:paraId="2F5F3216">
      <w:pPr>
        <w:pStyle w:val="7"/>
        <w:spacing w:line="580" w:lineRule="exact"/>
        <w:jc w:val="center"/>
        <w:rPr>
          <w:rFonts w:eastAsia="方正小标宋简体"/>
          <w:color w:val="000000"/>
          <w:sz w:val="44"/>
        </w:rPr>
      </w:pPr>
      <w:r>
        <w:rPr>
          <w:rFonts w:hint="eastAsia" w:eastAsia="方正小标宋简体"/>
          <w:color w:val="000000"/>
          <w:sz w:val="44"/>
        </w:rPr>
        <w:t>关于天津恒通远达商贸有限公司盐泥资源化利用项目</w:t>
      </w:r>
      <w:r>
        <w:rPr>
          <w:rFonts w:eastAsia="方正小标宋简体"/>
          <w:color w:val="000000"/>
          <w:sz w:val="44"/>
        </w:rPr>
        <w:t>环境影响报告表的批复</w:t>
      </w:r>
    </w:p>
    <w:p w14:paraId="779F6745">
      <w:pPr>
        <w:spacing w:line="580" w:lineRule="exact"/>
        <w:jc w:val="center"/>
        <w:rPr>
          <w:rFonts w:ascii="Times New Roman" w:hAnsi="Times New Roman"/>
          <w:b/>
          <w:color w:val="000000"/>
          <w:sz w:val="44"/>
        </w:rPr>
      </w:pPr>
    </w:p>
    <w:p w14:paraId="06AB2C8E">
      <w:pPr>
        <w:pStyle w:val="7"/>
        <w:spacing w:line="560" w:lineRule="exact"/>
        <w:rPr>
          <w:sz w:val="32"/>
          <w:szCs w:val="32"/>
        </w:rPr>
      </w:pPr>
      <w:r>
        <w:rPr>
          <w:rFonts w:hint="eastAsia"/>
          <w:sz w:val="32"/>
          <w:szCs w:val="32"/>
        </w:rPr>
        <w:t>天津恒通远达商贸有限公司</w:t>
      </w:r>
      <w:r>
        <w:rPr>
          <w:sz w:val="32"/>
          <w:szCs w:val="32"/>
        </w:rPr>
        <w:t>：</w:t>
      </w:r>
    </w:p>
    <w:p w14:paraId="62A3FAC8">
      <w:pPr>
        <w:pStyle w:val="7"/>
        <w:spacing w:line="560" w:lineRule="exact"/>
        <w:ind w:firstLine="662" w:firstLineChars="207"/>
        <w:rPr>
          <w:sz w:val="32"/>
          <w:szCs w:val="32"/>
        </w:rPr>
      </w:pPr>
      <w:r>
        <w:rPr>
          <w:sz w:val="32"/>
          <w:szCs w:val="32"/>
        </w:rPr>
        <w:t>你单位呈报的《</w:t>
      </w:r>
      <w:r>
        <w:rPr>
          <w:rFonts w:hint="eastAsia"/>
          <w:sz w:val="32"/>
          <w:szCs w:val="32"/>
        </w:rPr>
        <w:t>关于报批天津恒通远达商贸有限公司盐泥资源化利用项目</w:t>
      </w:r>
      <w:r>
        <w:rPr>
          <w:sz w:val="32"/>
          <w:szCs w:val="32"/>
        </w:rPr>
        <w:t>环境影响报告表的请示》、</w:t>
      </w:r>
      <w:r>
        <w:rPr>
          <w:rFonts w:hint="eastAsia"/>
          <w:sz w:val="32"/>
          <w:szCs w:val="32"/>
        </w:rPr>
        <w:t>天津</w:t>
      </w:r>
      <w:r>
        <w:rPr>
          <w:rFonts w:hint="eastAsia"/>
          <w:sz w:val="32"/>
          <w:szCs w:val="32"/>
          <w:lang w:eastAsia="zh-CN"/>
        </w:rPr>
        <w:t>中环宏泽环保咨询服务</w:t>
      </w:r>
      <w:r>
        <w:rPr>
          <w:sz w:val="32"/>
          <w:szCs w:val="32"/>
        </w:rPr>
        <w:t>有限公司编制的《</w:t>
      </w:r>
      <w:r>
        <w:rPr>
          <w:rFonts w:hint="eastAsia"/>
          <w:sz w:val="32"/>
          <w:szCs w:val="32"/>
        </w:rPr>
        <w:t>天津恒通远达商贸有限公司盐泥资源化利用项目</w:t>
      </w:r>
      <w:r>
        <w:rPr>
          <w:sz w:val="32"/>
          <w:szCs w:val="32"/>
        </w:rPr>
        <w:t>环境影响报告表》及其相关材料收悉。经研究，现批复如下：</w:t>
      </w:r>
    </w:p>
    <w:p w14:paraId="36AD3FCD">
      <w:pPr>
        <w:pStyle w:val="7"/>
        <w:spacing w:line="560" w:lineRule="exact"/>
        <w:ind w:firstLine="662" w:firstLineChars="207"/>
        <w:rPr>
          <w:sz w:val="32"/>
          <w:szCs w:val="32"/>
        </w:rPr>
      </w:pPr>
      <w:r>
        <w:rPr>
          <w:sz w:val="32"/>
          <w:szCs w:val="32"/>
        </w:rPr>
        <w:t>一、你单位拟</w:t>
      </w:r>
      <w:r>
        <w:rPr>
          <w:rFonts w:hint="eastAsia"/>
          <w:sz w:val="32"/>
          <w:szCs w:val="32"/>
          <w:lang w:eastAsia="zh-CN"/>
        </w:rPr>
        <w:t>租赁</w:t>
      </w:r>
      <w:r>
        <w:rPr>
          <w:rFonts w:hint="eastAsia"/>
          <w:sz w:val="32"/>
          <w:szCs w:val="32"/>
        </w:rPr>
        <w:t>滨海新区海滨街大港油田天津龙昌混凝土有限公司厂房及部分生产设备</w:t>
      </w:r>
      <w:r>
        <w:rPr>
          <w:sz w:val="32"/>
          <w:szCs w:val="32"/>
        </w:rPr>
        <w:t>建设“</w:t>
      </w:r>
      <w:r>
        <w:rPr>
          <w:rFonts w:hint="eastAsia"/>
          <w:sz w:val="32"/>
          <w:szCs w:val="32"/>
        </w:rPr>
        <w:t>盐泥资源化利用项目</w:t>
      </w:r>
      <w:r>
        <w:rPr>
          <w:sz w:val="32"/>
          <w:szCs w:val="32"/>
        </w:rPr>
        <w:t>”（以下简称“项目”）。项目主要建设内容为</w:t>
      </w:r>
      <w:r>
        <w:rPr>
          <w:rFonts w:hint="eastAsia"/>
          <w:sz w:val="32"/>
          <w:szCs w:val="32"/>
          <w:lang w:eastAsia="zh-CN"/>
        </w:rPr>
        <w:t>：</w:t>
      </w:r>
      <w:r>
        <w:rPr>
          <w:rFonts w:hint="eastAsia"/>
          <w:sz w:val="32"/>
          <w:szCs w:val="32"/>
        </w:rPr>
        <w:t>租赁一条混凝土生产线</w:t>
      </w:r>
      <w:r>
        <w:rPr>
          <w:rFonts w:hint="eastAsia"/>
          <w:sz w:val="32"/>
          <w:szCs w:val="32"/>
          <w:lang w:eastAsia="zh-CN"/>
        </w:rPr>
        <w:t>，并增购部分设备，</w:t>
      </w:r>
      <w:r>
        <w:rPr>
          <w:rFonts w:hint="eastAsia"/>
          <w:sz w:val="32"/>
          <w:szCs w:val="32"/>
        </w:rPr>
        <w:t>利用来自天津渤化化工发展有限公司的盐泥，并外购粉煤灰、石灰、水泥、碎石等原料进行适用于一般工业区内使用的稳定土生产，项目建成后年产稳定土50万t/a。</w:t>
      </w:r>
      <w:r>
        <w:rPr>
          <w:sz w:val="32"/>
          <w:szCs w:val="32"/>
        </w:rPr>
        <w:t>项目总投资</w:t>
      </w:r>
      <w:r>
        <w:rPr>
          <w:rFonts w:hint="eastAsia"/>
          <w:sz w:val="32"/>
          <w:szCs w:val="32"/>
        </w:rPr>
        <w:t>3</w:t>
      </w:r>
      <w:r>
        <w:rPr>
          <w:sz w:val="32"/>
          <w:szCs w:val="32"/>
        </w:rPr>
        <w:t>00万元人民币，其中环保投资</w:t>
      </w:r>
      <w:r>
        <w:rPr>
          <w:rFonts w:hint="eastAsia"/>
          <w:sz w:val="32"/>
          <w:szCs w:val="32"/>
          <w:lang w:val="en-US" w:eastAsia="zh-CN"/>
        </w:rPr>
        <w:t>20</w:t>
      </w:r>
      <w:r>
        <w:rPr>
          <w:sz w:val="32"/>
          <w:szCs w:val="32"/>
        </w:rPr>
        <w:t>万元人民币，约占总投资的</w:t>
      </w:r>
      <w:r>
        <w:rPr>
          <w:rFonts w:hint="eastAsia"/>
          <w:sz w:val="32"/>
          <w:szCs w:val="32"/>
          <w:lang w:val="en-US" w:eastAsia="zh-CN"/>
        </w:rPr>
        <w:t>6</w:t>
      </w:r>
      <w:r>
        <w:rPr>
          <w:rFonts w:hint="eastAsia"/>
          <w:sz w:val="32"/>
          <w:szCs w:val="32"/>
        </w:rPr>
        <w:t>.67</w:t>
      </w:r>
      <w:r>
        <w:rPr>
          <w:sz w:val="32"/>
          <w:szCs w:val="32"/>
        </w:rPr>
        <w:t>%，预计于202</w:t>
      </w:r>
      <w:r>
        <w:rPr>
          <w:rFonts w:hint="eastAsia"/>
          <w:sz w:val="32"/>
          <w:szCs w:val="32"/>
        </w:rPr>
        <w:t>5</w:t>
      </w:r>
      <w:r>
        <w:rPr>
          <w:sz w:val="32"/>
          <w:szCs w:val="32"/>
        </w:rPr>
        <w:t>年1月竣工。</w:t>
      </w:r>
    </w:p>
    <w:p w14:paraId="5DCB640E">
      <w:pPr>
        <w:pStyle w:val="7"/>
        <w:spacing w:line="560" w:lineRule="exact"/>
        <w:ind w:firstLine="662" w:firstLineChars="207"/>
        <w:rPr>
          <w:sz w:val="32"/>
          <w:szCs w:val="32"/>
        </w:rPr>
      </w:pPr>
      <w:r>
        <w:rPr>
          <w:sz w:val="32"/>
          <w:szCs w:val="32"/>
        </w:rPr>
        <w:t>202</w:t>
      </w:r>
      <w:r>
        <w:rPr>
          <w:rFonts w:hint="eastAsia"/>
          <w:sz w:val="32"/>
          <w:szCs w:val="32"/>
        </w:rPr>
        <w:t>4</w:t>
      </w:r>
      <w:r>
        <w:rPr>
          <w:sz w:val="32"/>
          <w:szCs w:val="32"/>
        </w:rPr>
        <w:t>年</w:t>
      </w:r>
      <w:r>
        <w:rPr>
          <w:rFonts w:hint="eastAsia"/>
          <w:sz w:val="32"/>
          <w:szCs w:val="32"/>
        </w:rPr>
        <w:t>12</w:t>
      </w:r>
      <w:r>
        <w:rPr>
          <w:sz w:val="32"/>
          <w:szCs w:val="32"/>
        </w:rPr>
        <w:t>月</w:t>
      </w:r>
      <w:r>
        <w:rPr>
          <w:rFonts w:hint="eastAsia"/>
          <w:sz w:val="32"/>
          <w:szCs w:val="32"/>
          <w:lang w:val="en-US" w:eastAsia="zh-CN"/>
        </w:rPr>
        <w:t>10</w:t>
      </w:r>
      <w:r>
        <w:rPr>
          <w:sz w:val="32"/>
          <w:szCs w:val="32"/>
        </w:rPr>
        <w:t>日至</w:t>
      </w:r>
      <w:r>
        <w:rPr>
          <w:rFonts w:hint="eastAsia"/>
          <w:sz w:val="32"/>
          <w:szCs w:val="32"/>
        </w:rPr>
        <w:t>12</w:t>
      </w:r>
      <w:r>
        <w:rPr>
          <w:sz w:val="32"/>
          <w:szCs w:val="32"/>
        </w:rPr>
        <w:t>月1</w:t>
      </w:r>
      <w:r>
        <w:rPr>
          <w:rFonts w:hint="eastAsia"/>
          <w:sz w:val="32"/>
          <w:szCs w:val="32"/>
          <w:lang w:val="en-US" w:eastAsia="zh-CN"/>
        </w:rPr>
        <w:t>6</w:t>
      </w:r>
      <w:r>
        <w:rPr>
          <w:sz w:val="32"/>
          <w:szCs w:val="32"/>
        </w:rPr>
        <w:t>日，我局将该项目受理情况进行公示</w:t>
      </w:r>
      <w:r>
        <w:rPr>
          <w:color w:val="auto"/>
          <w:sz w:val="32"/>
          <w:szCs w:val="32"/>
        </w:rPr>
        <w:t>；</w:t>
      </w:r>
      <w:r>
        <w:rPr>
          <w:rFonts w:hint="eastAsia"/>
          <w:color w:val="auto"/>
          <w:sz w:val="32"/>
          <w:szCs w:val="32"/>
        </w:rPr>
        <w:t>1</w:t>
      </w:r>
      <w:r>
        <w:rPr>
          <w:rFonts w:hint="eastAsia"/>
          <w:color w:val="auto"/>
          <w:sz w:val="32"/>
          <w:szCs w:val="32"/>
          <w:lang w:val="en-US" w:eastAsia="zh-CN"/>
        </w:rPr>
        <w:t>2</w:t>
      </w:r>
      <w:r>
        <w:rPr>
          <w:color w:val="auto"/>
          <w:sz w:val="32"/>
          <w:szCs w:val="32"/>
        </w:rPr>
        <w:t>月</w:t>
      </w:r>
      <w:r>
        <w:rPr>
          <w:rFonts w:hint="eastAsia"/>
          <w:color w:val="auto"/>
          <w:sz w:val="32"/>
          <w:szCs w:val="32"/>
          <w:lang w:val="en-US" w:eastAsia="zh-CN"/>
        </w:rPr>
        <w:t>23</w:t>
      </w:r>
      <w:r>
        <w:rPr>
          <w:color w:val="auto"/>
          <w:sz w:val="32"/>
          <w:szCs w:val="32"/>
        </w:rPr>
        <w:t>日至</w:t>
      </w:r>
      <w:r>
        <w:rPr>
          <w:rFonts w:hint="eastAsia"/>
          <w:color w:val="auto"/>
          <w:sz w:val="32"/>
          <w:szCs w:val="32"/>
        </w:rPr>
        <w:t>1</w:t>
      </w:r>
      <w:r>
        <w:rPr>
          <w:rFonts w:hint="eastAsia"/>
          <w:color w:val="auto"/>
          <w:sz w:val="32"/>
          <w:szCs w:val="32"/>
          <w:lang w:val="en-US" w:eastAsia="zh-CN"/>
        </w:rPr>
        <w:t>2</w:t>
      </w:r>
      <w:r>
        <w:rPr>
          <w:color w:val="auto"/>
          <w:sz w:val="32"/>
          <w:szCs w:val="32"/>
        </w:rPr>
        <w:t>月</w:t>
      </w:r>
      <w:r>
        <w:rPr>
          <w:rFonts w:hint="eastAsia"/>
          <w:color w:val="auto"/>
          <w:sz w:val="32"/>
          <w:szCs w:val="32"/>
          <w:lang w:val="en-US" w:eastAsia="zh-CN"/>
        </w:rPr>
        <w:t>27</w:t>
      </w:r>
      <w:r>
        <w:rPr>
          <w:color w:val="auto"/>
          <w:sz w:val="32"/>
          <w:szCs w:val="32"/>
        </w:rPr>
        <w:t>日</w:t>
      </w:r>
      <w:r>
        <w:rPr>
          <w:sz w:val="32"/>
          <w:szCs w:val="32"/>
        </w:rPr>
        <w:t>，将该项目拟批复情况进行公示；</w:t>
      </w:r>
      <w:r>
        <w:rPr>
          <w:rFonts w:hint="eastAsia"/>
          <w:sz w:val="32"/>
          <w:szCs w:val="32"/>
        </w:rPr>
        <w:t>根据公众反馈意见情况、环评报告结论及其专家评审意见，在严格落实环评报告所提出的各项污染防治措施、确保各类污染物稳定达标的前提下，项目具备环境可行性。</w:t>
      </w:r>
    </w:p>
    <w:p w14:paraId="7B83306A">
      <w:pPr>
        <w:pStyle w:val="7"/>
        <w:spacing w:line="560" w:lineRule="exact"/>
        <w:ind w:firstLine="662" w:firstLineChars="207"/>
        <w:rPr>
          <w:sz w:val="32"/>
          <w:szCs w:val="32"/>
        </w:rPr>
      </w:pPr>
      <w:r>
        <w:rPr>
          <w:sz w:val="32"/>
          <w:szCs w:val="32"/>
        </w:rPr>
        <w:t>二、项目建设期间，你单位应重点做好以下工作：</w:t>
      </w:r>
    </w:p>
    <w:p w14:paraId="57EE47D1">
      <w:pPr>
        <w:pStyle w:val="7"/>
        <w:spacing w:line="560" w:lineRule="exact"/>
        <w:ind w:firstLine="662" w:firstLineChars="207"/>
        <w:rPr>
          <w:sz w:val="32"/>
          <w:szCs w:val="32"/>
        </w:rPr>
      </w:pPr>
      <w:r>
        <w:rPr>
          <w:sz w:val="32"/>
          <w:szCs w:val="32"/>
        </w:rPr>
        <w:t>严格贯彻《天津市大气污染防治条例》、《天津市建设工程文明施工管理规定》、《天津市环境噪声污染防治管理办法》等环保法规，落实对施工扬尘、噪声等的各项污染防治措施；施工场地固体垃圾应及时清运；废水妥善处置。</w:t>
      </w:r>
    </w:p>
    <w:p w14:paraId="2C72374A">
      <w:pPr>
        <w:pStyle w:val="7"/>
        <w:spacing w:line="560" w:lineRule="exact"/>
        <w:ind w:firstLine="662" w:firstLineChars="207"/>
        <w:rPr>
          <w:sz w:val="32"/>
          <w:szCs w:val="32"/>
        </w:rPr>
      </w:pPr>
      <w:r>
        <w:rPr>
          <w:sz w:val="32"/>
          <w:szCs w:val="32"/>
        </w:rPr>
        <w:t>三、项目运营过程中，你单位应重点做好以下工作：</w:t>
      </w:r>
    </w:p>
    <w:p w14:paraId="0CA7D9D5">
      <w:pPr>
        <w:spacing w:line="560" w:lineRule="exact"/>
        <w:ind w:firstLine="640" w:firstLineChars="200"/>
        <w:textAlignment w:val="baseline"/>
        <w:rPr>
          <w:rFonts w:hint="eastAsia" w:ascii="Times New Roman" w:hAnsi="Times New Roman"/>
          <w:color w:val="auto"/>
        </w:rPr>
      </w:pPr>
      <w:r>
        <w:rPr>
          <w:rFonts w:hint="eastAsia" w:ascii="Times New Roman" w:hAnsi="Times New Roman"/>
          <w:color w:val="auto"/>
        </w:rPr>
        <w:t>1、项目盐泥运输过程，应采用密闭防扬散、防流失防渗漏措施，盐泥暂存间产生的废气经收集后引至1套</w:t>
      </w:r>
      <w:r>
        <w:rPr>
          <w:rFonts w:hint="eastAsia" w:ascii="Times New Roman" w:hAnsi="Times New Roman"/>
          <w:color w:val="auto"/>
          <w:lang w:eastAsia="zh-CN"/>
        </w:rPr>
        <w:t>“</w:t>
      </w:r>
      <w:r>
        <w:rPr>
          <w:rFonts w:hint="eastAsia" w:ascii="Times New Roman" w:hAnsi="Times New Roman"/>
          <w:color w:val="auto"/>
        </w:rPr>
        <w:t>UV光氧设施+活性炭吸附</w:t>
      </w:r>
      <w:r>
        <w:rPr>
          <w:rFonts w:hint="eastAsia" w:ascii="Times New Roman" w:hAnsi="Times New Roman"/>
          <w:color w:val="auto"/>
          <w:lang w:eastAsia="zh-CN"/>
        </w:rPr>
        <w:t>”</w:t>
      </w:r>
      <w:r>
        <w:rPr>
          <w:rFonts w:hint="eastAsia" w:ascii="Times New Roman" w:hAnsi="Times New Roman"/>
          <w:color w:val="auto"/>
        </w:rPr>
        <w:t>装置进行处理由15m 高排气筒P1达标排放；粉料进筒仓工序、粉料计量工序、搅拌机上料以及搅拌工序废气一同汇入1套布袋除尘器处理后由</w:t>
      </w:r>
      <w:r>
        <w:rPr>
          <w:rFonts w:hint="eastAsia" w:ascii="Times New Roman" w:hAnsi="Times New Roman"/>
          <w:color w:val="auto"/>
          <w:lang w:val="en-US" w:eastAsia="zh-CN"/>
        </w:rPr>
        <w:t>25</w:t>
      </w:r>
      <w:r>
        <w:rPr>
          <w:rFonts w:hint="eastAsia" w:ascii="Times New Roman" w:hAnsi="Times New Roman"/>
          <w:color w:val="auto"/>
        </w:rPr>
        <w:t>m高排气筒P2达标排放；碎石卸料、上料以及产品装车卸料工位出口采取雾炮及水喷淋管进行喷淋抑尘；项目应采取有效措施降低废气无组织排放，确保颗粒物、臭气浓度等因子浓度厂界达标。</w:t>
      </w:r>
    </w:p>
    <w:p w14:paraId="075DF2A3">
      <w:pPr>
        <w:spacing w:line="560" w:lineRule="exact"/>
        <w:ind w:firstLine="640" w:firstLineChars="200"/>
        <w:textAlignment w:val="baseline"/>
        <w:rPr>
          <w:rFonts w:hint="eastAsia" w:ascii="Times New Roman" w:hAnsi="Times New Roman"/>
        </w:rPr>
      </w:pPr>
      <w:r>
        <w:rPr>
          <w:rFonts w:ascii="Times New Roman" w:hAnsi="Times New Roman"/>
        </w:rPr>
        <w:t>2、本项目职工生活污水定期清掏。</w:t>
      </w:r>
      <w:r>
        <w:rPr>
          <w:rFonts w:hint="eastAsia" w:ascii="Times New Roman" w:hAnsi="Times New Roman"/>
        </w:rPr>
        <w:t>车辆冲洗废水经沉淀池</w:t>
      </w:r>
    </w:p>
    <w:p w14:paraId="1A44368F">
      <w:pPr>
        <w:spacing w:line="560" w:lineRule="exact"/>
        <w:textAlignment w:val="baseline"/>
        <w:rPr>
          <w:rFonts w:hint="eastAsia" w:ascii="Times New Roman" w:hAnsi="Times New Roman" w:eastAsia="仿宋_GB2312"/>
          <w:lang w:eastAsia="zh-CN"/>
        </w:rPr>
      </w:pPr>
      <w:r>
        <w:rPr>
          <w:rFonts w:hint="eastAsia" w:ascii="Times New Roman" w:hAnsi="Times New Roman"/>
        </w:rPr>
        <w:t>沉淀后循环使用不外排</w:t>
      </w:r>
      <w:r>
        <w:rPr>
          <w:rFonts w:hint="eastAsia" w:ascii="Times New Roman" w:hAnsi="Times New Roman"/>
          <w:lang w:eastAsia="zh-CN"/>
        </w:rPr>
        <w:t>。</w:t>
      </w:r>
    </w:p>
    <w:p w14:paraId="36FE626F">
      <w:pPr>
        <w:spacing w:line="560" w:lineRule="exact"/>
        <w:ind w:firstLine="640" w:firstLineChars="200"/>
        <w:textAlignment w:val="baseline"/>
        <w:rPr>
          <w:rFonts w:ascii="Times New Roman" w:hAnsi="Times New Roman"/>
        </w:rPr>
      </w:pPr>
      <w:r>
        <w:rPr>
          <w:rFonts w:ascii="Times New Roman" w:hAnsi="Times New Roman"/>
        </w:rPr>
        <w:t>3、合理布局，选用低噪声设备，对产噪设备实施减振、消声、隔声等措施，确保厂界噪声达标。</w:t>
      </w:r>
    </w:p>
    <w:p w14:paraId="6051D4D6">
      <w:pPr>
        <w:spacing w:line="560" w:lineRule="exact"/>
        <w:ind w:firstLine="640" w:firstLineChars="200"/>
        <w:textAlignment w:val="baseline"/>
        <w:rPr>
          <w:rFonts w:ascii="Times New Roman" w:hAnsi="Times New Roman"/>
        </w:rPr>
      </w:pPr>
      <w:r>
        <w:rPr>
          <w:rFonts w:ascii="Times New Roman" w:hAnsi="Times New Roman"/>
        </w:rPr>
        <w:t>4、做好各类固体废物的收集、贮存、运输和处置，做到资源化、减量化、无害化。项目废</w:t>
      </w:r>
      <w:r>
        <w:rPr>
          <w:rFonts w:hint="eastAsia" w:ascii="Times New Roman" w:hAnsi="Times New Roman"/>
          <w:lang w:eastAsia="zh-CN"/>
        </w:rPr>
        <w:t>机</w:t>
      </w:r>
      <w:r>
        <w:rPr>
          <w:rFonts w:ascii="Times New Roman" w:hAnsi="Times New Roman"/>
        </w:rPr>
        <w:t>油、废油桶、</w:t>
      </w:r>
      <w:r>
        <w:rPr>
          <w:rFonts w:hint="eastAsia" w:ascii="Times New Roman" w:hAnsi="Times New Roman"/>
          <w:lang w:eastAsia="zh-CN"/>
        </w:rPr>
        <w:t>废活性炭、废灯管、</w:t>
      </w:r>
      <w:r>
        <w:rPr>
          <w:rFonts w:ascii="Times New Roman" w:hAnsi="Times New Roman"/>
        </w:rPr>
        <w:t>含油抹布及手套等危险废物交由有资质的单位进行处理处置；以上危险废物需按照《危险废物收集 贮存运输技术规范》（HJ2025-2012）进行收集、贮存及运输；危险废物暂存库应按照《危险废物贮存污染控制标准》（GB18597-20</w:t>
      </w:r>
      <w:r>
        <w:rPr>
          <w:rFonts w:hint="eastAsia" w:ascii="Times New Roman" w:hAnsi="Times New Roman"/>
        </w:rPr>
        <w:t>23</w:t>
      </w:r>
      <w:r>
        <w:rPr>
          <w:rFonts w:ascii="Times New Roman" w:hAnsi="Times New Roman"/>
        </w:rPr>
        <w:t>）进行管理</w:t>
      </w:r>
      <w:r>
        <w:rPr>
          <w:rFonts w:hint="eastAsia" w:ascii="Times New Roman" w:hAnsi="Times New Roman"/>
        </w:rPr>
        <w:t>；废滤袋交一般工业固废处置单位处理；除尘灰</w:t>
      </w:r>
      <w:r>
        <w:rPr>
          <w:rFonts w:hint="eastAsia" w:ascii="Times New Roman" w:hAnsi="Times New Roman"/>
          <w:lang w:eastAsia="zh-CN"/>
        </w:rPr>
        <w:t>回用于生产；洗车平台依托天津龙昌混凝土有限公司设施，沉渣由该单位进行处理；</w:t>
      </w:r>
      <w:r>
        <w:rPr>
          <w:rFonts w:ascii="Times New Roman" w:hAnsi="Times New Roman"/>
        </w:rPr>
        <w:t>生活垃圾交由城管委清运处置。</w:t>
      </w:r>
    </w:p>
    <w:p w14:paraId="07EF613E">
      <w:pPr>
        <w:spacing w:line="560" w:lineRule="exact"/>
        <w:ind w:firstLine="640" w:firstLineChars="200"/>
        <w:textAlignment w:val="baseline"/>
        <w:rPr>
          <w:rFonts w:ascii="Times New Roman" w:hAnsi="Times New Roman"/>
        </w:rPr>
      </w:pPr>
      <w:r>
        <w:rPr>
          <w:rFonts w:hint="eastAsia" w:ascii="Times New Roman" w:hAnsi="Times New Roman"/>
        </w:rPr>
        <w:t>5、严格控制物料来源，做好进场质量控制，不得处理危险废物。</w:t>
      </w:r>
    </w:p>
    <w:p w14:paraId="6CB2E483">
      <w:pPr>
        <w:spacing w:line="560" w:lineRule="exact"/>
        <w:ind w:firstLine="640" w:firstLineChars="200"/>
        <w:textAlignment w:val="baseline"/>
        <w:rPr>
          <w:rFonts w:ascii="Times New Roman" w:hAnsi="Times New Roman"/>
        </w:rPr>
      </w:pPr>
      <w:r>
        <w:rPr>
          <w:rFonts w:hint="eastAsia" w:ascii="Times New Roman" w:hAnsi="Times New Roman"/>
        </w:rPr>
        <w:t>6、按照相关规定，做好排污口规范化工作，设置规范的采样点，悬挂符合要求的标识牌。</w:t>
      </w:r>
    </w:p>
    <w:p w14:paraId="16799147">
      <w:pPr>
        <w:spacing w:line="560" w:lineRule="exact"/>
        <w:ind w:firstLine="640" w:firstLineChars="200"/>
        <w:textAlignment w:val="baseline"/>
        <w:rPr>
          <w:rFonts w:ascii="Times New Roman" w:hAnsi="Times New Roman"/>
        </w:rPr>
      </w:pPr>
      <w:r>
        <w:rPr>
          <w:rFonts w:hint="eastAsia" w:ascii="Times New Roman" w:hAnsi="Times New Roman"/>
        </w:rPr>
        <w:t>7</w:t>
      </w:r>
      <w:r>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14:paraId="17D20728">
      <w:pPr>
        <w:pStyle w:val="7"/>
        <w:spacing w:line="560" w:lineRule="exact"/>
        <w:ind w:firstLine="662" w:firstLineChars="207"/>
        <w:rPr>
          <w:kern w:val="2"/>
          <w:sz w:val="32"/>
          <w:szCs w:val="32"/>
        </w:rPr>
      </w:pPr>
      <w:r>
        <w:rPr>
          <w:kern w:val="2"/>
          <w:sz w:val="32"/>
          <w:szCs w:val="32"/>
        </w:rPr>
        <w:t>四、项目建设应严格执行环境保护设施与主体工程同时设计、同时施工、同时投产使用的“三同时”管理制度。项目应按规定标准和程序开展环境保护验收，经验收合格后方可正式投入运营。</w:t>
      </w:r>
    </w:p>
    <w:p w14:paraId="1F90EF9B">
      <w:pPr>
        <w:pStyle w:val="7"/>
        <w:spacing w:line="560" w:lineRule="exact"/>
        <w:ind w:firstLine="662" w:firstLineChars="207"/>
        <w:rPr>
          <w:kern w:val="2"/>
          <w:sz w:val="32"/>
          <w:szCs w:val="32"/>
        </w:rPr>
      </w:pPr>
      <w:r>
        <w:rPr>
          <w:kern w:val="2"/>
          <w:sz w:val="32"/>
          <w:szCs w:val="32"/>
        </w:rPr>
        <w:t>五、若建设项目发生重大变动，需重新报批建设项目的环境影响评价文件。</w:t>
      </w:r>
    </w:p>
    <w:p w14:paraId="50DEBCEA">
      <w:pPr>
        <w:pStyle w:val="7"/>
        <w:spacing w:line="560" w:lineRule="exact"/>
        <w:ind w:firstLine="662" w:firstLineChars="207"/>
        <w:rPr>
          <w:kern w:val="2"/>
          <w:sz w:val="32"/>
          <w:szCs w:val="32"/>
        </w:rPr>
      </w:pPr>
      <w:r>
        <w:rPr>
          <w:kern w:val="2"/>
          <w:sz w:val="32"/>
          <w:szCs w:val="32"/>
        </w:rPr>
        <w:t>六、你单位应在启动生产设施或者在实际排污之前按照法律法规要求做好排污许可管理相关工作。</w:t>
      </w:r>
    </w:p>
    <w:p w14:paraId="4A651B67">
      <w:pPr>
        <w:pStyle w:val="7"/>
        <w:spacing w:line="560" w:lineRule="exact"/>
        <w:ind w:firstLine="662" w:firstLineChars="207"/>
        <w:rPr>
          <w:sz w:val="32"/>
          <w:szCs w:val="32"/>
        </w:rPr>
      </w:pPr>
      <w:r>
        <w:rPr>
          <w:kern w:val="2"/>
          <w:sz w:val="32"/>
          <w:szCs w:val="32"/>
        </w:rPr>
        <w:t>七、项目应执行以下排放标准：</w:t>
      </w:r>
    </w:p>
    <w:p w14:paraId="7A6322E7">
      <w:pPr>
        <w:spacing w:line="560" w:lineRule="exact"/>
        <w:ind w:firstLine="640" w:firstLineChars="200"/>
        <w:rPr>
          <w:rFonts w:ascii="Times New Roman" w:hAnsi="Times New Roman"/>
        </w:rPr>
      </w:pPr>
      <w:r>
        <w:rPr>
          <w:rFonts w:ascii="Times New Roman" w:hAnsi="Times New Roman"/>
        </w:rPr>
        <w:t>1</w:t>
      </w:r>
      <w:r>
        <w:rPr>
          <w:rFonts w:ascii="Times New Roman"/>
        </w:rPr>
        <w:t>、《建筑施工场界环境噪声排放标准》（</w:t>
      </w:r>
      <w:r>
        <w:rPr>
          <w:rFonts w:ascii="Times New Roman" w:hAnsi="Times New Roman"/>
        </w:rPr>
        <w:t>GB12523-2011</w:t>
      </w:r>
      <w:r>
        <w:rPr>
          <w:rFonts w:ascii="Times New Roman"/>
        </w:rPr>
        <w:t>）；</w:t>
      </w:r>
    </w:p>
    <w:p w14:paraId="67A1B6EF">
      <w:pPr>
        <w:spacing w:line="560" w:lineRule="exact"/>
        <w:ind w:firstLine="640" w:firstLineChars="200"/>
        <w:rPr>
          <w:rFonts w:ascii="Times New Roman"/>
        </w:rPr>
      </w:pPr>
      <w:r>
        <w:rPr>
          <w:rFonts w:ascii="Times New Roman" w:hAnsi="Times New Roman"/>
        </w:rPr>
        <w:t>2</w:t>
      </w:r>
      <w:r>
        <w:rPr>
          <w:rFonts w:ascii="Times New Roman"/>
        </w:rPr>
        <w:t>、《工业企业厂界环境噪声排放标准》</w:t>
      </w:r>
      <w:r>
        <w:rPr>
          <w:rFonts w:ascii="Times New Roman" w:hAnsi="Times New Roman"/>
        </w:rPr>
        <w:t>(GB12348-2008)</w:t>
      </w:r>
      <w:r>
        <w:rPr>
          <w:rFonts w:hint="eastAsia" w:ascii="Times New Roman" w:hAnsi="Times New Roman"/>
          <w:lang w:val="en-US" w:eastAsia="zh-CN"/>
        </w:rPr>
        <w:t>3</w:t>
      </w:r>
      <w:r>
        <w:rPr>
          <w:rFonts w:ascii="Times New Roman"/>
        </w:rPr>
        <w:t>类；</w:t>
      </w:r>
    </w:p>
    <w:p w14:paraId="7C51AB11">
      <w:pPr>
        <w:spacing w:line="560" w:lineRule="exact"/>
        <w:ind w:firstLine="640" w:firstLineChars="200"/>
        <w:rPr>
          <w:rFonts w:hint="eastAsia" w:ascii="Times New Roman"/>
        </w:rPr>
      </w:pPr>
      <w:r>
        <w:rPr>
          <w:rFonts w:hint="eastAsia" w:ascii="Times New Roman"/>
          <w:lang w:val="en-US" w:eastAsia="zh-CN"/>
        </w:rPr>
        <w:t>3</w:t>
      </w:r>
      <w:r>
        <w:rPr>
          <w:rFonts w:hint="eastAsia" w:ascii="Times New Roman"/>
        </w:rPr>
        <w:t>、《恶臭污染物排放标准》（DB12/059-2018）；</w:t>
      </w:r>
    </w:p>
    <w:p w14:paraId="125E2D08">
      <w:pPr>
        <w:spacing w:line="560" w:lineRule="exact"/>
        <w:ind w:firstLine="640" w:firstLineChars="200"/>
        <w:rPr>
          <w:rFonts w:ascii="Times New Roman"/>
        </w:rPr>
      </w:pPr>
      <w:r>
        <w:rPr>
          <w:rFonts w:hint="eastAsia" w:ascii="Times New Roman"/>
          <w:lang w:val="en-US" w:eastAsia="zh-CN"/>
        </w:rPr>
        <w:t>4</w:t>
      </w:r>
      <w:r>
        <w:rPr>
          <w:rFonts w:hint="eastAsia" w:ascii="Times New Roman"/>
        </w:rPr>
        <w:t>、《水泥工业大气污染物排放标准》（GB4915-2013）；</w:t>
      </w:r>
    </w:p>
    <w:p w14:paraId="17BC3615">
      <w:pPr>
        <w:pStyle w:val="7"/>
        <w:spacing w:line="560" w:lineRule="exact"/>
        <w:ind w:firstLine="662" w:firstLineChars="207"/>
        <w:rPr>
          <w:sz w:val="32"/>
          <w:szCs w:val="32"/>
        </w:rPr>
      </w:pPr>
      <w:r>
        <w:rPr>
          <w:rFonts w:hint="eastAsia"/>
          <w:sz w:val="32"/>
          <w:szCs w:val="32"/>
          <w:lang w:val="en-US" w:eastAsia="zh-CN"/>
        </w:rPr>
        <w:t>5</w:t>
      </w:r>
      <w:r>
        <w:rPr>
          <w:sz w:val="32"/>
          <w:szCs w:val="32"/>
        </w:rPr>
        <w:t>、《危险废物贮存污染控制标准》（GB18597-20</w:t>
      </w:r>
      <w:r>
        <w:rPr>
          <w:rFonts w:hint="eastAsia"/>
          <w:sz w:val="32"/>
          <w:szCs w:val="32"/>
        </w:rPr>
        <w:t>23</w:t>
      </w:r>
      <w:r>
        <w:rPr>
          <w:sz w:val="32"/>
          <w:szCs w:val="32"/>
        </w:rPr>
        <w:t xml:space="preserve">）； </w:t>
      </w:r>
    </w:p>
    <w:p w14:paraId="124378BB">
      <w:pPr>
        <w:pStyle w:val="7"/>
        <w:spacing w:line="560" w:lineRule="exact"/>
        <w:ind w:firstLine="662" w:firstLineChars="207"/>
        <w:rPr>
          <w:sz w:val="32"/>
          <w:szCs w:val="32"/>
        </w:rPr>
      </w:pPr>
      <w:r>
        <w:rPr>
          <w:rFonts w:hint="eastAsia"/>
          <w:sz w:val="32"/>
          <w:szCs w:val="32"/>
          <w:lang w:val="en-US" w:eastAsia="zh-CN"/>
        </w:rPr>
        <w:t>6</w:t>
      </w:r>
      <w:r>
        <w:rPr>
          <w:sz w:val="32"/>
          <w:szCs w:val="32"/>
        </w:rPr>
        <w:t>、《危险废物</w:t>
      </w:r>
      <w:r>
        <w:rPr>
          <w:rFonts w:hint="eastAsia"/>
          <w:sz w:val="32"/>
          <w:szCs w:val="32"/>
        </w:rPr>
        <w:t xml:space="preserve">收集  </w:t>
      </w:r>
      <w:r>
        <w:rPr>
          <w:sz w:val="32"/>
          <w:szCs w:val="32"/>
        </w:rPr>
        <w:t>贮存</w:t>
      </w:r>
      <w:r>
        <w:rPr>
          <w:rFonts w:hint="eastAsia"/>
          <w:sz w:val="32"/>
          <w:szCs w:val="32"/>
        </w:rPr>
        <w:t xml:space="preserve"> </w:t>
      </w:r>
      <w:r>
        <w:rPr>
          <w:sz w:val="32"/>
          <w:szCs w:val="32"/>
        </w:rPr>
        <w:t>运输技术规范》（HJ2025-2012）；</w:t>
      </w:r>
    </w:p>
    <w:p w14:paraId="7973983D">
      <w:pPr>
        <w:pStyle w:val="7"/>
        <w:spacing w:line="560" w:lineRule="exact"/>
        <w:ind w:firstLine="662" w:firstLineChars="207"/>
        <w:rPr>
          <w:sz w:val="32"/>
          <w:szCs w:val="32"/>
        </w:rPr>
      </w:pPr>
      <w:r>
        <w:rPr>
          <w:rFonts w:hint="eastAsia"/>
          <w:sz w:val="32"/>
          <w:szCs w:val="32"/>
          <w:lang w:val="en-US" w:eastAsia="zh-CN"/>
        </w:rPr>
        <w:t>7</w:t>
      </w:r>
      <w:r>
        <w:rPr>
          <w:sz w:val="32"/>
          <w:szCs w:val="32"/>
        </w:rPr>
        <w:t>、《一般工业固体废物贮存和填埋污染控制标准》（GB18599-2020）。</w:t>
      </w:r>
    </w:p>
    <w:p w14:paraId="07060D56">
      <w:pPr>
        <w:pStyle w:val="7"/>
        <w:spacing w:line="560" w:lineRule="exact"/>
        <w:ind w:firstLine="662" w:firstLineChars="207"/>
        <w:rPr>
          <w:sz w:val="32"/>
          <w:szCs w:val="32"/>
        </w:rPr>
      </w:pPr>
      <w:r>
        <w:rPr>
          <w:sz w:val="32"/>
          <w:szCs w:val="32"/>
        </w:rPr>
        <w:t>此复</w:t>
      </w:r>
    </w:p>
    <w:p w14:paraId="2A311970">
      <w:pPr>
        <w:pStyle w:val="7"/>
        <w:spacing w:line="560" w:lineRule="exact"/>
        <w:ind w:firstLine="662" w:firstLineChars="207"/>
        <w:rPr>
          <w:sz w:val="32"/>
          <w:szCs w:val="32"/>
        </w:rPr>
      </w:pPr>
    </w:p>
    <w:p w14:paraId="72265FB9">
      <w:pPr>
        <w:pStyle w:val="7"/>
        <w:spacing w:line="560" w:lineRule="exact"/>
        <w:ind w:firstLine="662" w:firstLineChars="207"/>
        <w:rPr>
          <w:sz w:val="32"/>
          <w:szCs w:val="32"/>
        </w:rPr>
      </w:pPr>
    </w:p>
    <w:p w14:paraId="74BCCB9E">
      <w:pPr>
        <w:pStyle w:val="7"/>
        <w:spacing w:line="560" w:lineRule="exact"/>
        <w:ind w:firstLine="662" w:firstLineChars="207"/>
        <w:rPr>
          <w:sz w:val="32"/>
          <w:szCs w:val="32"/>
        </w:rPr>
      </w:pPr>
    </w:p>
    <w:p w14:paraId="49418EC7">
      <w:pPr>
        <w:pStyle w:val="7"/>
        <w:spacing w:line="560" w:lineRule="exact"/>
        <w:ind w:firstLine="662" w:firstLineChars="207"/>
        <w:rPr>
          <w:sz w:val="32"/>
          <w:szCs w:val="32"/>
        </w:rPr>
      </w:pPr>
    </w:p>
    <w:p w14:paraId="57F3066A">
      <w:pPr>
        <w:wordWrap w:val="0"/>
        <w:spacing w:line="520" w:lineRule="exact"/>
        <w:jc w:val="right"/>
      </w:pPr>
      <w:r>
        <w:rPr>
          <w:rFonts w:hint="eastAsia"/>
        </w:rPr>
        <w:t xml:space="preserve">                        </w:t>
      </w:r>
      <w:r>
        <w:t>20</w:t>
      </w:r>
      <w:r>
        <w:rPr>
          <w:rFonts w:hint="eastAsia"/>
        </w:rPr>
        <w:t>2</w:t>
      </w:r>
      <w:r>
        <w:rPr>
          <w:rFonts w:hint="eastAsia"/>
          <w:lang w:val="en-US" w:eastAsia="zh-CN"/>
        </w:rPr>
        <w:t>4</w:t>
      </w:r>
      <w:r>
        <w:t>年</w:t>
      </w:r>
      <w:r>
        <w:rPr>
          <w:rFonts w:hint="eastAsia"/>
        </w:rPr>
        <w:t>1</w:t>
      </w:r>
      <w:r>
        <w:rPr>
          <w:rFonts w:hint="eastAsia"/>
          <w:lang w:val="en-US" w:eastAsia="zh-CN"/>
        </w:rPr>
        <w:t>2</w:t>
      </w:r>
      <w:r>
        <w:t>月</w:t>
      </w:r>
      <w:r>
        <w:rPr>
          <w:rFonts w:hint="eastAsia"/>
          <w:lang w:val="en-US" w:eastAsia="zh-CN"/>
        </w:rPr>
        <w:t>30</w:t>
      </w:r>
      <w:r>
        <w:t>日</w:t>
      </w:r>
      <w:r>
        <w:rPr>
          <w:rFonts w:hint="eastAsia"/>
        </w:rPr>
        <w:t xml:space="preserve">       </w:t>
      </w:r>
    </w:p>
    <w:p w14:paraId="3C004951">
      <w:pPr>
        <w:spacing w:line="520" w:lineRule="exact"/>
        <w:jc w:val="right"/>
      </w:pPr>
    </w:p>
    <w:p w14:paraId="15CCDDCC">
      <w:pPr>
        <w:spacing w:line="520" w:lineRule="exact"/>
        <w:jc w:val="right"/>
      </w:pPr>
    </w:p>
    <w:p w14:paraId="755ED6FB">
      <w:pPr>
        <w:spacing w:line="520" w:lineRule="exact"/>
        <w:jc w:val="both"/>
      </w:pPr>
    </w:p>
    <w:p w14:paraId="00EBF6CB">
      <w:pPr>
        <w:spacing w:line="520" w:lineRule="exact"/>
        <w:jc w:val="right"/>
      </w:pPr>
    </w:p>
    <w:p w14:paraId="1C9E1530">
      <w:pPr>
        <w:spacing w:line="520" w:lineRule="exact"/>
        <w:jc w:val="right"/>
      </w:pPr>
    </w:p>
    <w:p w14:paraId="3E65E3E5">
      <w:pPr>
        <w:spacing w:line="520" w:lineRule="exact"/>
        <w:jc w:val="right"/>
      </w:pPr>
      <w:r>
        <w:rPr>
          <w:rFonts w:hint="eastAsia"/>
        </w:rPr>
        <w:t xml:space="preserve"> </w:t>
      </w:r>
    </w:p>
    <w:p w14:paraId="5116E2B6">
      <w:pPr>
        <w:spacing w:line="520" w:lineRule="exact"/>
        <w:jc w:val="right"/>
      </w:pPr>
    </w:p>
    <w:p w14:paraId="559E766E">
      <w:pPr>
        <w:spacing w:line="520" w:lineRule="exact"/>
        <w:ind w:right="640"/>
        <w:jc w:val="right"/>
      </w:pPr>
    </w:p>
    <w:p w14:paraId="7E07D331">
      <w:pPr>
        <w:spacing w:line="360" w:lineRule="exact"/>
      </w:pPr>
      <w:r>
        <w:rPr>
          <w:rFonts w:eastAsia="黑体"/>
        </w:rPr>
        <w:t>主题词：</w:t>
      </w:r>
      <w:r>
        <w:t>环境影响 报告表 批复                （共印</w:t>
      </w:r>
      <w:r>
        <w:rPr>
          <w:rFonts w:hint="eastAsia"/>
        </w:rPr>
        <w:t>3</w:t>
      </w:r>
      <w:r>
        <w:t>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1E82B21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19" w:hRule="atLeast"/>
        </w:trPr>
        <w:tc>
          <w:tcPr>
            <w:tcW w:w="1242" w:type="dxa"/>
            <w:tcBorders>
              <w:top w:val="single" w:color="auto" w:sz="8" w:space="0"/>
              <w:bottom w:val="single" w:color="auto" w:sz="8" w:space="0"/>
            </w:tcBorders>
          </w:tcPr>
          <w:p w14:paraId="2F95B965">
            <w:pPr>
              <w:spacing w:line="360" w:lineRule="exact"/>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56697DAD">
            <w:pPr>
              <w:spacing w:line="360" w:lineRule="exact"/>
            </w:pPr>
            <w:r>
              <w:t>天津市滨海新区</w:t>
            </w:r>
            <w:r>
              <w:rPr>
                <w:rFonts w:hint="eastAsia"/>
              </w:rPr>
              <w:t>生态</w:t>
            </w:r>
            <w:r>
              <w:t>环境局</w:t>
            </w:r>
          </w:p>
        </w:tc>
      </w:tr>
      <w:tr w14:paraId="2D9E37E0">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409F6E99">
            <w:pPr>
              <w:spacing w:line="360" w:lineRule="exact"/>
            </w:pPr>
            <w:r>
              <w:rPr>
                <w:rFonts w:hint="eastAsia"/>
              </w:rPr>
              <w:t>天津市滨海新区行政审批局</w:t>
            </w:r>
          </w:p>
        </w:tc>
        <w:tc>
          <w:tcPr>
            <w:tcW w:w="3890" w:type="dxa"/>
            <w:tcBorders>
              <w:top w:val="single" w:color="auto" w:sz="8" w:space="0"/>
            </w:tcBorders>
          </w:tcPr>
          <w:p w14:paraId="57A46AC7">
            <w:pPr>
              <w:spacing w:line="360" w:lineRule="exact"/>
              <w:ind w:right="320" w:rightChars="100"/>
              <w:jc w:val="right"/>
            </w:pPr>
            <w:r>
              <w:t>20</w:t>
            </w:r>
            <w:r>
              <w:rPr>
                <w:rFonts w:hint="eastAsia"/>
              </w:rPr>
              <w:t>2</w:t>
            </w:r>
            <w:r>
              <w:rPr>
                <w:rFonts w:hint="eastAsia"/>
                <w:lang w:val="en-US" w:eastAsia="zh-CN"/>
              </w:rPr>
              <w:t>4</w:t>
            </w:r>
            <w:r>
              <w:t>年</w:t>
            </w:r>
            <w:r>
              <w:rPr>
                <w:rFonts w:hint="eastAsia"/>
              </w:rPr>
              <w:t>1</w:t>
            </w:r>
            <w:r>
              <w:rPr>
                <w:rFonts w:hint="eastAsia"/>
                <w:lang w:val="en-US" w:eastAsia="zh-CN"/>
              </w:rPr>
              <w:t>2</w:t>
            </w:r>
            <w:r>
              <w:rPr>
                <w:rFonts w:hint="eastAsia"/>
              </w:rPr>
              <w:t>月</w:t>
            </w:r>
            <w:r>
              <w:rPr>
                <w:rFonts w:hint="eastAsia"/>
                <w:lang w:val="en-US" w:eastAsia="zh-CN"/>
              </w:rPr>
              <w:t>30</w:t>
            </w:r>
            <w:r>
              <w:t>日印发</w:t>
            </w:r>
          </w:p>
        </w:tc>
      </w:tr>
    </w:tbl>
    <w:p w14:paraId="3A9B96BD">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143F914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25A405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BA6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YTMzYzYzNzM2MTI3ZTVlYWE5OWM0N2E3NWE5MGYifQ=="/>
  </w:docVars>
  <w:rsids>
    <w:rsidRoot w:val="005E4B9D"/>
    <w:rsid w:val="000000ED"/>
    <w:rsid w:val="00005129"/>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E6A3B"/>
    <w:rsid w:val="000F7EEF"/>
    <w:rsid w:val="00103749"/>
    <w:rsid w:val="001040CF"/>
    <w:rsid w:val="001130C0"/>
    <w:rsid w:val="0011736F"/>
    <w:rsid w:val="00127AE7"/>
    <w:rsid w:val="001460BB"/>
    <w:rsid w:val="00154AA1"/>
    <w:rsid w:val="00155A9A"/>
    <w:rsid w:val="001602A8"/>
    <w:rsid w:val="00162464"/>
    <w:rsid w:val="001708D6"/>
    <w:rsid w:val="001815AE"/>
    <w:rsid w:val="00185818"/>
    <w:rsid w:val="0019193B"/>
    <w:rsid w:val="001A21BB"/>
    <w:rsid w:val="001B066E"/>
    <w:rsid w:val="001C0D5B"/>
    <w:rsid w:val="001C71C4"/>
    <w:rsid w:val="001D1EA8"/>
    <w:rsid w:val="001D479B"/>
    <w:rsid w:val="001D55C1"/>
    <w:rsid w:val="001E44A6"/>
    <w:rsid w:val="001F3EDC"/>
    <w:rsid w:val="002014D5"/>
    <w:rsid w:val="00203B29"/>
    <w:rsid w:val="002048B3"/>
    <w:rsid w:val="002063B5"/>
    <w:rsid w:val="002102C7"/>
    <w:rsid w:val="00210B83"/>
    <w:rsid w:val="0021630A"/>
    <w:rsid w:val="00225068"/>
    <w:rsid w:val="0024430E"/>
    <w:rsid w:val="002525B3"/>
    <w:rsid w:val="00261B2D"/>
    <w:rsid w:val="00262308"/>
    <w:rsid w:val="00264D13"/>
    <w:rsid w:val="00271D85"/>
    <w:rsid w:val="0027307C"/>
    <w:rsid w:val="0027460C"/>
    <w:rsid w:val="00275DD8"/>
    <w:rsid w:val="00282601"/>
    <w:rsid w:val="002830BF"/>
    <w:rsid w:val="002858A4"/>
    <w:rsid w:val="00292B28"/>
    <w:rsid w:val="002A2C3C"/>
    <w:rsid w:val="002A61D2"/>
    <w:rsid w:val="002A6EBE"/>
    <w:rsid w:val="002B607C"/>
    <w:rsid w:val="002D0492"/>
    <w:rsid w:val="002D2E2A"/>
    <w:rsid w:val="002D4DA6"/>
    <w:rsid w:val="002D545C"/>
    <w:rsid w:val="002D7082"/>
    <w:rsid w:val="002E319B"/>
    <w:rsid w:val="002E401B"/>
    <w:rsid w:val="002E692F"/>
    <w:rsid w:val="002E747F"/>
    <w:rsid w:val="00300691"/>
    <w:rsid w:val="00310B46"/>
    <w:rsid w:val="00317E33"/>
    <w:rsid w:val="00321335"/>
    <w:rsid w:val="003276C0"/>
    <w:rsid w:val="00330A22"/>
    <w:rsid w:val="00331DE5"/>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026F"/>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4F704E"/>
    <w:rsid w:val="00503728"/>
    <w:rsid w:val="00511124"/>
    <w:rsid w:val="00514D56"/>
    <w:rsid w:val="005154D8"/>
    <w:rsid w:val="00520063"/>
    <w:rsid w:val="00535942"/>
    <w:rsid w:val="005413E6"/>
    <w:rsid w:val="00550B0E"/>
    <w:rsid w:val="005537B6"/>
    <w:rsid w:val="005550BB"/>
    <w:rsid w:val="00564AB3"/>
    <w:rsid w:val="00571193"/>
    <w:rsid w:val="00575BCB"/>
    <w:rsid w:val="00576DA2"/>
    <w:rsid w:val="00580F91"/>
    <w:rsid w:val="00585C74"/>
    <w:rsid w:val="00585DE1"/>
    <w:rsid w:val="005860F7"/>
    <w:rsid w:val="00597D45"/>
    <w:rsid w:val="005A58A9"/>
    <w:rsid w:val="005A6D2D"/>
    <w:rsid w:val="005A7FEE"/>
    <w:rsid w:val="005B1982"/>
    <w:rsid w:val="005B1FD4"/>
    <w:rsid w:val="005B2AAF"/>
    <w:rsid w:val="005B3531"/>
    <w:rsid w:val="005C15E0"/>
    <w:rsid w:val="005C641A"/>
    <w:rsid w:val="005D0CF3"/>
    <w:rsid w:val="005D14A8"/>
    <w:rsid w:val="005D7258"/>
    <w:rsid w:val="005E0D1B"/>
    <w:rsid w:val="005E1F3E"/>
    <w:rsid w:val="005E4B9D"/>
    <w:rsid w:val="005F266C"/>
    <w:rsid w:val="005F2674"/>
    <w:rsid w:val="005F28FD"/>
    <w:rsid w:val="005F3FC6"/>
    <w:rsid w:val="005F4F6F"/>
    <w:rsid w:val="005F713B"/>
    <w:rsid w:val="00611936"/>
    <w:rsid w:val="0061619F"/>
    <w:rsid w:val="00635419"/>
    <w:rsid w:val="0063707F"/>
    <w:rsid w:val="00637D80"/>
    <w:rsid w:val="00641676"/>
    <w:rsid w:val="00644BE7"/>
    <w:rsid w:val="00645767"/>
    <w:rsid w:val="00647662"/>
    <w:rsid w:val="0065253B"/>
    <w:rsid w:val="0065312E"/>
    <w:rsid w:val="0065394D"/>
    <w:rsid w:val="00660EAC"/>
    <w:rsid w:val="006618CE"/>
    <w:rsid w:val="00672AB5"/>
    <w:rsid w:val="00673A5F"/>
    <w:rsid w:val="006814DD"/>
    <w:rsid w:val="00687F41"/>
    <w:rsid w:val="0069481E"/>
    <w:rsid w:val="006952E6"/>
    <w:rsid w:val="006A3C27"/>
    <w:rsid w:val="006A3CA1"/>
    <w:rsid w:val="006B0572"/>
    <w:rsid w:val="006B3524"/>
    <w:rsid w:val="006B3710"/>
    <w:rsid w:val="006B3C74"/>
    <w:rsid w:val="006C1333"/>
    <w:rsid w:val="006C5EDA"/>
    <w:rsid w:val="006C666D"/>
    <w:rsid w:val="006C6966"/>
    <w:rsid w:val="006C7509"/>
    <w:rsid w:val="006D0535"/>
    <w:rsid w:val="006D323D"/>
    <w:rsid w:val="006D4CB8"/>
    <w:rsid w:val="006D6F78"/>
    <w:rsid w:val="006E6894"/>
    <w:rsid w:val="006F68B5"/>
    <w:rsid w:val="006F70A3"/>
    <w:rsid w:val="006F7C55"/>
    <w:rsid w:val="006F7C96"/>
    <w:rsid w:val="0070112D"/>
    <w:rsid w:val="007148F8"/>
    <w:rsid w:val="00722B21"/>
    <w:rsid w:val="00723175"/>
    <w:rsid w:val="00723B07"/>
    <w:rsid w:val="00724BD9"/>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5BB7"/>
    <w:rsid w:val="00836613"/>
    <w:rsid w:val="0083738C"/>
    <w:rsid w:val="00840B59"/>
    <w:rsid w:val="00854762"/>
    <w:rsid w:val="008610DF"/>
    <w:rsid w:val="00862F39"/>
    <w:rsid w:val="0086441A"/>
    <w:rsid w:val="0088082E"/>
    <w:rsid w:val="00880ACF"/>
    <w:rsid w:val="0089128F"/>
    <w:rsid w:val="00892986"/>
    <w:rsid w:val="008B3585"/>
    <w:rsid w:val="008B5123"/>
    <w:rsid w:val="008B64A3"/>
    <w:rsid w:val="008B7F60"/>
    <w:rsid w:val="008C36C6"/>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4BB5"/>
    <w:rsid w:val="00975A90"/>
    <w:rsid w:val="00981CCC"/>
    <w:rsid w:val="00982258"/>
    <w:rsid w:val="00983896"/>
    <w:rsid w:val="00984FEE"/>
    <w:rsid w:val="009876B6"/>
    <w:rsid w:val="00993DDE"/>
    <w:rsid w:val="00997180"/>
    <w:rsid w:val="009A01DB"/>
    <w:rsid w:val="009A26A1"/>
    <w:rsid w:val="009A38D1"/>
    <w:rsid w:val="009A6638"/>
    <w:rsid w:val="009A7071"/>
    <w:rsid w:val="009B229F"/>
    <w:rsid w:val="009B3B1A"/>
    <w:rsid w:val="009C2978"/>
    <w:rsid w:val="009D0145"/>
    <w:rsid w:val="009D27F7"/>
    <w:rsid w:val="009D43FD"/>
    <w:rsid w:val="009D5CD3"/>
    <w:rsid w:val="009E34EE"/>
    <w:rsid w:val="009E5CB5"/>
    <w:rsid w:val="009E60D1"/>
    <w:rsid w:val="00A003DA"/>
    <w:rsid w:val="00A05B04"/>
    <w:rsid w:val="00A144E3"/>
    <w:rsid w:val="00A16B2F"/>
    <w:rsid w:val="00A17D40"/>
    <w:rsid w:val="00A212A2"/>
    <w:rsid w:val="00A240F7"/>
    <w:rsid w:val="00A270E7"/>
    <w:rsid w:val="00A27A59"/>
    <w:rsid w:val="00A373B9"/>
    <w:rsid w:val="00A417E0"/>
    <w:rsid w:val="00A46A05"/>
    <w:rsid w:val="00A47243"/>
    <w:rsid w:val="00A51802"/>
    <w:rsid w:val="00A60908"/>
    <w:rsid w:val="00A6581B"/>
    <w:rsid w:val="00A820B7"/>
    <w:rsid w:val="00A84BFF"/>
    <w:rsid w:val="00A87B33"/>
    <w:rsid w:val="00A87B5F"/>
    <w:rsid w:val="00A905E4"/>
    <w:rsid w:val="00A92B68"/>
    <w:rsid w:val="00A947C4"/>
    <w:rsid w:val="00AA23AE"/>
    <w:rsid w:val="00AA52FC"/>
    <w:rsid w:val="00AB1BC3"/>
    <w:rsid w:val="00AB363A"/>
    <w:rsid w:val="00AB5754"/>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5138A"/>
    <w:rsid w:val="00B56AAE"/>
    <w:rsid w:val="00B57588"/>
    <w:rsid w:val="00B63B9A"/>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E6716"/>
    <w:rsid w:val="00DE780B"/>
    <w:rsid w:val="00DF3823"/>
    <w:rsid w:val="00DF4F33"/>
    <w:rsid w:val="00E01196"/>
    <w:rsid w:val="00E0334F"/>
    <w:rsid w:val="00E07241"/>
    <w:rsid w:val="00E163F4"/>
    <w:rsid w:val="00E2178A"/>
    <w:rsid w:val="00E21F11"/>
    <w:rsid w:val="00E22F90"/>
    <w:rsid w:val="00E2523D"/>
    <w:rsid w:val="00E312EA"/>
    <w:rsid w:val="00E4360D"/>
    <w:rsid w:val="00E45D4D"/>
    <w:rsid w:val="00E504D9"/>
    <w:rsid w:val="00E52FD5"/>
    <w:rsid w:val="00E574A1"/>
    <w:rsid w:val="00E63B55"/>
    <w:rsid w:val="00E7111F"/>
    <w:rsid w:val="00E73A6B"/>
    <w:rsid w:val="00E74A5A"/>
    <w:rsid w:val="00E74BCF"/>
    <w:rsid w:val="00E765CB"/>
    <w:rsid w:val="00E76CAF"/>
    <w:rsid w:val="00E805A6"/>
    <w:rsid w:val="00E821A2"/>
    <w:rsid w:val="00E9501E"/>
    <w:rsid w:val="00E95586"/>
    <w:rsid w:val="00EA7883"/>
    <w:rsid w:val="00EB5301"/>
    <w:rsid w:val="00EB70C1"/>
    <w:rsid w:val="00EC51BA"/>
    <w:rsid w:val="00EE1F06"/>
    <w:rsid w:val="00EE2771"/>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05EA"/>
    <w:rsid w:val="00F84DA2"/>
    <w:rsid w:val="00F85504"/>
    <w:rsid w:val="00FB0CE6"/>
    <w:rsid w:val="00FB2687"/>
    <w:rsid w:val="00FB2757"/>
    <w:rsid w:val="00FC28C4"/>
    <w:rsid w:val="00FD223C"/>
    <w:rsid w:val="00FF61EA"/>
    <w:rsid w:val="01740FA6"/>
    <w:rsid w:val="03277AEE"/>
    <w:rsid w:val="09BF05F1"/>
    <w:rsid w:val="0E0C377F"/>
    <w:rsid w:val="0EBF5D6C"/>
    <w:rsid w:val="10C40B26"/>
    <w:rsid w:val="11860AFB"/>
    <w:rsid w:val="14645659"/>
    <w:rsid w:val="17C66775"/>
    <w:rsid w:val="18770142"/>
    <w:rsid w:val="19A02B60"/>
    <w:rsid w:val="1B067D19"/>
    <w:rsid w:val="1CD90F90"/>
    <w:rsid w:val="1E543C0A"/>
    <w:rsid w:val="21FA61F2"/>
    <w:rsid w:val="22503B80"/>
    <w:rsid w:val="29613133"/>
    <w:rsid w:val="298F17BF"/>
    <w:rsid w:val="2AC96E45"/>
    <w:rsid w:val="2BE42BD3"/>
    <w:rsid w:val="2CA67E37"/>
    <w:rsid w:val="30F607F1"/>
    <w:rsid w:val="317136CD"/>
    <w:rsid w:val="31AC24EA"/>
    <w:rsid w:val="366337ED"/>
    <w:rsid w:val="38923531"/>
    <w:rsid w:val="45933C72"/>
    <w:rsid w:val="46AD49C0"/>
    <w:rsid w:val="472C15E5"/>
    <w:rsid w:val="496B7F77"/>
    <w:rsid w:val="4B4345C1"/>
    <w:rsid w:val="4C3B6976"/>
    <w:rsid w:val="4C7A6353"/>
    <w:rsid w:val="51DC2670"/>
    <w:rsid w:val="555761E8"/>
    <w:rsid w:val="57904998"/>
    <w:rsid w:val="5C690FBE"/>
    <w:rsid w:val="5FCA5CA8"/>
    <w:rsid w:val="61593D0C"/>
    <w:rsid w:val="615A25C6"/>
    <w:rsid w:val="623B37C7"/>
    <w:rsid w:val="63D53BEC"/>
    <w:rsid w:val="68EB2C3F"/>
    <w:rsid w:val="68EC03E8"/>
    <w:rsid w:val="6E5B3674"/>
    <w:rsid w:val="6F0736D9"/>
    <w:rsid w:val="76817CF6"/>
    <w:rsid w:val="7AD43593"/>
    <w:rsid w:val="7C24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279</Words>
  <Characters>1595</Characters>
  <Lines>13</Lines>
  <Paragraphs>3</Paragraphs>
  <TotalTime>6</TotalTime>
  <ScaleCrop>false</ScaleCrop>
  <LinksUpToDate>false</LinksUpToDate>
  <CharactersWithSpaces>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2024-12-05T08:39:00Z</dcterms:created>
  <dc:creator>Administrator</dc:creator>
  <cp:lastModifiedBy>dell</cp:lastModifiedBy>
  <cp:lastPrinted>2024-12-13T03:17:00Z</cp:lastPrinted>
  <dcterms:modified xsi:type="dcterms:W3CDTF">2025-01-03T07:34:53Z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1A9E374243EC44BC9773008C69E54B9C_13</vt:lpwstr>
  </property>
</Properties>
</file>