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pStyle w:val="2"/>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eastAsia="仿宋_GB2312"/>
          <w:sz w:val="32"/>
          <w:szCs w:val="32"/>
        </w:rPr>
      </w:pPr>
    </w:p>
    <w:p>
      <w:pPr>
        <w:jc w:val="center"/>
        <w:rPr>
          <w:rFonts w:ascii="仿宋_GB2312" w:eastAsia="仿宋_GB2312"/>
          <w:sz w:val="32"/>
          <w:szCs w:val="32"/>
        </w:rPr>
      </w:pPr>
      <w:bookmarkStart w:id="0" w:name="_GoBack"/>
      <w:r>
        <w:rPr>
          <w:rFonts w:eastAsia="仿宋_GB2312"/>
          <w:sz w:val="32"/>
          <w:szCs w:val="32"/>
        </w:rPr>
        <w:t>津滨审批二室准〔20</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233</w:t>
      </w:r>
      <w:r>
        <w:rPr>
          <w:rFonts w:eastAsia="仿宋_GB2312"/>
          <w:sz w:val="32"/>
          <w:szCs w:val="32"/>
        </w:rPr>
        <w:t>号</w:t>
      </w:r>
    </w:p>
    <w:bookmarkEnd w:id="0"/>
    <w:p>
      <w:pPr>
        <w:rPr>
          <w:rFonts w:ascii="仿宋_GB2312" w:eastAsia="仿宋_GB2312"/>
          <w:sz w:val="32"/>
          <w:szCs w:val="32"/>
        </w:rPr>
      </w:pPr>
    </w:p>
    <w:p>
      <w:pPr>
        <w:pStyle w:val="13"/>
        <w:spacing w:line="580" w:lineRule="exact"/>
        <w:jc w:val="center"/>
        <w:rPr>
          <w:rFonts w:eastAsia="仿宋_GB2312"/>
          <w:kern w:val="2"/>
          <w:sz w:val="32"/>
          <w:szCs w:val="32"/>
        </w:rPr>
      </w:pPr>
    </w:p>
    <w:p>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
        </w:rPr>
        <w:t>天津中油港北能源销售有限公司港北</w:t>
      </w:r>
    </w:p>
    <w:p>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lang w:val="en"/>
        </w:rPr>
        <w:t>加油站改造项目环境影响报告表的</w:t>
      </w:r>
      <w:r>
        <w:rPr>
          <w:rFonts w:hint="eastAsia" w:ascii="方正小标宋简体" w:hAnsi="宋体" w:eastAsia="方正小标宋简体"/>
          <w:color w:val="000000"/>
          <w:sz w:val="44"/>
        </w:rPr>
        <w:t>批复</w:t>
      </w:r>
    </w:p>
    <w:p>
      <w:pPr>
        <w:spacing w:line="0" w:lineRule="atLeast"/>
        <w:jc w:val="center"/>
        <w:rPr>
          <w:rFonts w:ascii="宋体" w:hAnsi="宋体"/>
          <w:b/>
          <w:color w:val="000000"/>
          <w:szCs w:val="21"/>
        </w:rPr>
      </w:pPr>
    </w:p>
    <w:p>
      <w:pPr>
        <w:pStyle w:val="13"/>
        <w:spacing w:line="600" w:lineRule="exact"/>
        <w:jc w:val="both"/>
        <w:rPr>
          <w:rFonts w:eastAsia="仿宋_GB2312"/>
          <w:color w:val="auto"/>
          <w:sz w:val="32"/>
          <w:szCs w:val="32"/>
        </w:rPr>
      </w:pPr>
      <w:r>
        <w:rPr>
          <w:rFonts w:hint="eastAsia" w:eastAsia="仿宋_GB2312"/>
          <w:color w:val="auto"/>
          <w:sz w:val="32"/>
          <w:szCs w:val="32"/>
          <w:lang w:val="en"/>
        </w:rPr>
        <w:t>天津中油港北能源销售有限公司</w:t>
      </w:r>
      <w:r>
        <w:rPr>
          <w:rFonts w:hint="eastAsia" w:eastAsia="仿宋_GB2312"/>
          <w:color w:val="auto"/>
          <w:sz w:val="32"/>
          <w:szCs w:val="32"/>
        </w:rPr>
        <w:t>：</w:t>
      </w:r>
    </w:p>
    <w:p>
      <w:pPr>
        <w:spacing w:line="600" w:lineRule="exact"/>
        <w:ind w:firstLine="640" w:firstLineChars="200"/>
        <w:textAlignment w:val="baseline"/>
        <w:rPr>
          <w:rFonts w:eastAsia="仿宋_GB2312"/>
          <w:sz w:val="32"/>
          <w:szCs w:val="32"/>
        </w:rPr>
      </w:pPr>
      <w:r>
        <w:rPr>
          <w:rFonts w:hint="eastAsia" w:eastAsia="仿宋_GB2312"/>
          <w:sz w:val="32"/>
          <w:szCs w:val="32"/>
        </w:rPr>
        <w:t>你公司呈报的《</w:t>
      </w:r>
      <w:r>
        <w:rPr>
          <w:rFonts w:hint="eastAsia" w:eastAsia="仿宋_GB2312"/>
          <w:sz w:val="32"/>
          <w:szCs w:val="32"/>
          <w:lang w:eastAsia="zh-CN"/>
        </w:rPr>
        <w:t>关于报批</w:t>
      </w:r>
      <w:r>
        <w:rPr>
          <w:rFonts w:hint="eastAsia" w:eastAsia="仿宋_GB2312"/>
          <w:sz w:val="32"/>
          <w:szCs w:val="32"/>
          <w:lang w:val="en" w:eastAsia="zh-CN"/>
        </w:rPr>
        <w:t>港北加油站改造项目</w:t>
      </w:r>
      <w:r>
        <w:rPr>
          <w:rFonts w:hint="eastAsia" w:eastAsia="仿宋_GB2312"/>
          <w:sz w:val="32"/>
          <w:szCs w:val="32"/>
          <w:lang w:val="en"/>
        </w:rPr>
        <w:t>环境影响报告表</w:t>
      </w:r>
      <w:r>
        <w:rPr>
          <w:rFonts w:hint="eastAsia" w:eastAsia="仿宋_GB2312"/>
          <w:sz w:val="32"/>
          <w:szCs w:val="32"/>
        </w:rPr>
        <w:t>的请示》、天津中环宏泽环保咨询服务有限公司</w:t>
      </w:r>
      <w:r>
        <w:rPr>
          <w:rFonts w:hint="eastAsia" w:eastAsia="仿宋_GB2312"/>
          <w:sz w:val="32"/>
          <w:szCs w:val="32"/>
          <w:lang w:eastAsia="zh-CN"/>
        </w:rPr>
        <w:t>编制的</w:t>
      </w:r>
      <w:r>
        <w:rPr>
          <w:rFonts w:hint="eastAsia" w:eastAsia="仿宋_GB2312"/>
          <w:sz w:val="32"/>
          <w:szCs w:val="32"/>
        </w:rPr>
        <w:t>《</w:t>
      </w:r>
      <w:r>
        <w:rPr>
          <w:rFonts w:hint="eastAsia" w:eastAsia="仿宋_GB2312"/>
          <w:sz w:val="32"/>
          <w:szCs w:val="32"/>
          <w:lang w:val="en" w:eastAsia="zh-CN"/>
        </w:rPr>
        <w:t>港北加油站改造项目</w:t>
      </w:r>
      <w:r>
        <w:rPr>
          <w:rFonts w:hint="eastAsia" w:eastAsia="仿宋_GB2312"/>
          <w:sz w:val="32"/>
          <w:szCs w:val="32"/>
          <w:lang w:val="en"/>
        </w:rPr>
        <w:t>环境</w:t>
      </w:r>
      <w:r>
        <w:rPr>
          <w:rFonts w:hint="eastAsia" w:eastAsia="仿宋_GB2312"/>
          <w:sz w:val="32"/>
          <w:szCs w:val="32"/>
        </w:rPr>
        <w:t>影响报告表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pPr>
        <w:spacing w:line="600" w:lineRule="exact"/>
        <w:ind w:firstLine="640" w:firstLineChars="200"/>
        <w:textAlignment w:val="baseline"/>
        <w:rPr>
          <w:rFonts w:eastAsia="仿宋_GB2312"/>
          <w:sz w:val="32"/>
          <w:szCs w:val="32"/>
        </w:rPr>
      </w:pPr>
      <w:r>
        <w:rPr>
          <w:rFonts w:hint="eastAsia" w:eastAsia="仿宋_GB2312"/>
          <w:sz w:val="32"/>
          <w:szCs w:val="32"/>
        </w:rPr>
        <w:t>一、</w:t>
      </w:r>
      <w:r>
        <w:rPr>
          <w:rFonts w:hint="eastAsia" w:eastAsia="仿宋_GB2312"/>
          <w:sz w:val="32"/>
          <w:szCs w:val="32"/>
          <w:lang w:eastAsia="zh-CN"/>
        </w:rPr>
        <w:t>港北</w:t>
      </w:r>
      <w:r>
        <w:rPr>
          <w:rFonts w:hint="eastAsia" w:eastAsia="仿宋_GB2312"/>
          <w:sz w:val="32"/>
          <w:szCs w:val="32"/>
        </w:rPr>
        <w:t>加油站始建于</w:t>
      </w:r>
      <w:r>
        <w:rPr>
          <w:rFonts w:hint="eastAsia" w:eastAsia="仿宋_GB2312"/>
          <w:sz w:val="32"/>
          <w:szCs w:val="32"/>
          <w:lang w:val="en-US" w:eastAsia="zh-CN"/>
        </w:rPr>
        <w:t>1998</w:t>
      </w:r>
      <w:r>
        <w:rPr>
          <w:rFonts w:hint="eastAsia" w:eastAsia="仿宋_GB2312"/>
          <w:sz w:val="32"/>
          <w:szCs w:val="32"/>
        </w:rPr>
        <w:t>年，位于</w:t>
      </w:r>
      <w:r>
        <w:rPr>
          <w:rFonts w:hint="eastAsia" w:eastAsia="仿宋_GB2312"/>
          <w:sz w:val="32"/>
          <w:szCs w:val="32"/>
          <w:lang w:eastAsia="zh-CN"/>
        </w:rPr>
        <w:t>滨海新区大港津歧公路</w:t>
      </w:r>
      <w:r>
        <w:rPr>
          <w:rFonts w:hint="eastAsia" w:eastAsia="仿宋_GB2312"/>
          <w:sz w:val="32"/>
          <w:szCs w:val="32"/>
          <w:lang w:val="en-US" w:eastAsia="zh-CN"/>
        </w:rPr>
        <w:t>1757号。本次改造拟对现有站房进行装修翻新，不新增建筑面积，拆除现有罩棚、加油站房、加油机、地下储罐并重建</w:t>
      </w:r>
      <w:r>
        <w:rPr>
          <w:rFonts w:hint="eastAsia" w:eastAsia="仿宋_GB2312"/>
          <w:sz w:val="32"/>
          <w:szCs w:val="32"/>
        </w:rPr>
        <w:t>，</w:t>
      </w:r>
      <w:r>
        <w:rPr>
          <w:rFonts w:hint="eastAsia" w:eastAsia="仿宋_GB2312"/>
          <w:sz w:val="32"/>
          <w:szCs w:val="32"/>
          <w:lang w:eastAsia="zh-CN"/>
        </w:rPr>
        <w:t>新增一台隧道式洗车机，为小客车提供洗车服务。改造完成后，站内共有四座</w:t>
      </w:r>
      <w:r>
        <w:rPr>
          <w:rFonts w:hint="eastAsia" w:eastAsia="仿宋_GB2312"/>
          <w:sz w:val="32"/>
          <w:szCs w:val="32"/>
          <w:lang w:val="en-US" w:eastAsia="zh-CN"/>
        </w:rPr>
        <w:t>30立方米的地下双层储油罐（汽油储罐和柴油储罐各</w:t>
      </w:r>
      <w:r>
        <w:rPr>
          <w:rFonts w:hint="eastAsia" w:eastAsia="仿宋_GB2312"/>
          <w:sz w:val="32"/>
          <w:szCs w:val="32"/>
          <w:lang w:eastAsia="zh-CN"/>
        </w:rPr>
        <w:t>两座</w:t>
      </w:r>
      <w:r>
        <w:rPr>
          <w:rFonts w:hint="eastAsia" w:eastAsia="仿宋_GB2312"/>
          <w:sz w:val="32"/>
          <w:szCs w:val="32"/>
          <w:lang w:val="en-US" w:eastAsia="zh-CN"/>
        </w:rPr>
        <w:t>），</w:t>
      </w:r>
      <w:r>
        <w:rPr>
          <w:rFonts w:hint="eastAsia" w:eastAsia="仿宋_GB2312"/>
          <w:sz w:val="32"/>
          <w:szCs w:val="32"/>
          <w:lang w:eastAsia="zh-CN"/>
        </w:rPr>
        <w:t>两台</w:t>
      </w:r>
      <w:r>
        <w:rPr>
          <w:rFonts w:hint="eastAsia" w:eastAsia="仿宋_GB2312"/>
          <w:sz w:val="32"/>
          <w:szCs w:val="32"/>
          <w:lang w:val="en-US" w:eastAsia="zh-CN"/>
        </w:rPr>
        <w:t>4</w:t>
      </w:r>
      <w:r>
        <w:rPr>
          <w:rFonts w:hint="eastAsia" w:eastAsia="仿宋_GB2312"/>
          <w:sz w:val="32"/>
          <w:szCs w:val="32"/>
          <w:lang w:eastAsia="zh-CN"/>
        </w:rPr>
        <w:t>枪汽油加油机、两台双枪柴油加油机、两台</w:t>
      </w:r>
      <w:r>
        <w:rPr>
          <w:rFonts w:hint="eastAsia" w:eastAsia="仿宋_GB2312"/>
          <w:sz w:val="32"/>
          <w:szCs w:val="32"/>
          <w:lang w:val="en-US" w:eastAsia="zh-CN"/>
        </w:rPr>
        <w:t>双</w:t>
      </w:r>
      <w:r>
        <w:rPr>
          <w:rFonts w:hint="eastAsia" w:eastAsia="仿宋_GB2312"/>
          <w:sz w:val="32"/>
          <w:szCs w:val="32"/>
          <w:lang w:eastAsia="zh-CN"/>
        </w:rPr>
        <w:t>枪汽油柴油加油机</w:t>
      </w:r>
      <w:r>
        <w:rPr>
          <w:rFonts w:hint="eastAsia" w:eastAsia="仿宋_GB2312"/>
          <w:sz w:val="32"/>
          <w:szCs w:val="32"/>
          <w:lang w:val="en-US" w:eastAsia="zh-CN"/>
        </w:rPr>
        <w:t>（其中汽油枪10把、柴油枪6把）</w:t>
      </w:r>
      <w:r>
        <w:rPr>
          <w:rFonts w:hint="eastAsia" w:eastAsia="仿宋_GB2312"/>
          <w:sz w:val="32"/>
          <w:szCs w:val="32"/>
        </w:rPr>
        <w:t>，乙醇汽油</w:t>
      </w:r>
      <w:r>
        <w:rPr>
          <w:rFonts w:hint="eastAsia" w:eastAsia="仿宋_GB2312"/>
          <w:sz w:val="32"/>
          <w:szCs w:val="32"/>
          <w:lang w:eastAsia="zh-CN"/>
        </w:rPr>
        <w:t>和柴油的</w:t>
      </w:r>
      <w:r>
        <w:rPr>
          <w:rFonts w:hint="eastAsia" w:eastAsia="仿宋_GB2312"/>
          <w:sz w:val="32"/>
          <w:szCs w:val="32"/>
        </w:rPr>
        <w:t>销售量</w:t>
      </w:r>
      <w:r>
        <w:rPr>
          <w:rFonts w:hint="eastAsia" w:eastAsia="仿宋_GB2312"/>
          <w:sz w:val="32"/>
          <w:szCs w:val="32"/>
          <w:lang w:eastAsia="zh-CN"/>
        </w:rPr>
        <w:t>均</w:t>
      </w:r>
      <w:r>
        <w:rPr>
          <w:rFonts w:hint="eastAsia" w:eastAsia="仿宋_GB2312"/>
          <w:sz w:val="32"/>
          <w:szCs w:val="32"/>
        </w:rPr>
        <w:t>为</w:t>
      </w:r>
      <w:r>
        <w:rPr>
          <w:rFonts w:hint="eastAsia" w:eastAsia="仿宋_GB2312"/>
          <w:sz w:val="32"/>
          <w:szCs w:val="32"/>
          <w:lang w:val="en-US" w:eastAsia="zh-CN"/>
        </w:rPr>
        <w:t>1825</w:t>
      </w:r>
      <w:r>
        <w:rPr>
          <w:rFonts w:hint="eastAsia" w:eastAsia="仿宋_GB2312"/>
          <w:sz w:val="32"/>
          <w:szCs w:val="32"/>
        </w:rPr>
        <w:t>吨/年。项目总投资</w:t>
      </w:r>
      <w:r>
        <w:rPr>
          <w:rFonts w:hint="eastAsia" w:eastAsia="仿宋_GB2312"/>
          <w:sz w:val="32"/>
          <w:szCs w:val="32"/>
          <w:lang w:val="en-US" w:eastAsia="zh-CN"/>
        </w:rPr>
        <w:t>799</w:t>
      </w:r>
      <w:r>
        <w:rPr>
          <w:rFonts w:hint="eastAsia" w:eastAsia="仿宋_GB2312"/>
          <w:sz w:val="32"/>
          <w:szCs w:val="32"/>
        </w:rPr>
        <w:t>万元，环保投资</w:t>
      </w:r>
      <w:r>
        <w:rPr>
          <w:rFonts w:hint="eastAsia" w:eastAsia="仿宋_GB2312"/>
          <w:sz w:val="32"/>
          <w:szCs w:val="32"/>
          <w:lang w:val="en-US" w:eastAsia="zh-CN"/>
        </w:rPr>
        <w:t>4</w:t>
      </w:r>
      <w:r>
        <w:rPr>
          <w:rFonts w:hint="eastAsia" w:eastAsia="仿宋_GB2312"/>
          <w:sz w:val="32"/>
          <w:szCs w:val="32"/>
        </w:rPr>
        <w:t>5万元，占总投资的5</w:t>
      </w:r>
      <w:r>
        <w:rPr>
          <w:rFonts w:hint="eastAsia" w:eastAsia="仿宋_GB2312"/>
          <w:sz w:val="32"/>
          <w:szCs w:val="32"/>
          <w:lang w:val="en-US" w:eastAsia="zh-CN"/>
        </w:rPr>
        <w:t>.632</w:t>
      </w:r>
      <w:r>
        <w:rPr>
          <w:rFonts w:hint="eastAsia" w:eastAsia="仿宋_GB2312"/>
          <w:sz w:val="32"/>
          <w:szCs w:val="32"/>
        </w:rPr>
        <w:t>%。</w:t>
      </w:r>
    </w:p>
    <w:p>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2024年8月20日</w:t>
      </w:r>
      <w:r>
        <w:rPr>
          <w:rFonts w:eastAsia="仿宋_GB2312"/>
          <w:sz w:val="32"/>
          <w:szCs w:val="32"/>
        </w:rPr>
        <w:t>至</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26</w:t>
      </w:r>
      <w:r>
        <w:rPr>
          <w:rFonts w:eastAsia="仿宋_GB2312"/>
          <w:sz w:val="32"/>
          <w:szCs w:val="32"/>
        </w:rPr>
        <w:t>日，我局将该项目</w:t>
      </w:r>
      <w:r>
        <w:rPr>
          <w:rFonts w:hint="eastAsia" w:eastAsia="仿宋_GB2312"/>
          <w:sz w:val="32"/>
          <w:szCs w:val="32"/>
        </w:rPr>
        <w:t>环评报告</w:t>
      </w:r>
      <w:r>
        <w:rPr>
          <w:rFonts w:hint="eastAsia" w:eastAsia="仿宋_GB2312"/>
          <w:sz w:val="32"/>
          <w:szCs w:val="32"/>
          <w:lang w:eastAsia="zh-CN"/>
        </w:rPr>
        <w:t>的</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公示</w:t>
      </w:r>
      <w:r>
        <w:rPr>
          <w:rFonts w:eastAsia="仿宋_GB2312"/>
          <w:sz w:val="32"/>
          <w:szCs w:val="32"/>
          <w:highlight w:val="none"/>
        </w:rPr>
        <w:t>；</w:t>
      </w:r>
      <w:r>
        <w:rPr>
          <w:rFonts w:hint="eastAsia" w:eastAsia="仿宋_GB2312"/>
          <w:sz w:val="32"/>
          <w:szCs w:val="32"/>
          <w:highlight w:val="none"/>
          <w:lang w:val="en-US" w:eastAsia="zh-CN"/>
        </w:rPr>
        <w:t>9</w:t>
      </w:r>
      <w:r>
        <w:rPr>
          <w:rFonts w:eastAsia="仿宋_GB2312"/>
          <w:sz w:val="32"/>
          <w:szCs w:val="32"/>
          <w:highlight w:val="none"/>
        </w:rPr>
        <w:t>月</w:t>
      </w:r>
      <w:r>
        <w:rPr>
          <w:rFonts w:hint="eastAsia" w:eastAsia="仿宋_GB2312"/>
          <w:sz w:val="32"/>
          <w:szCs w:val="32"/>
          <w:highlight w:val="none"/>
          <w:lang w:val="en-US" w:eastAsia="zh-CN"/>
        </w:rPr>
        <w:t>6</w:t>
      </w:r>
      <w:r>
        <w:rPr>
          <w:rFonts w:eastAsia="仿宋_GB2312"/>
          <w:sz w:val="32"/>
          <w:szCs w:val="32"/>
          <w:highlight w:val="none"/>
        </w:rPr>
        <w:t>日至</w:t>
      </w:r>
      <w:r>
        <w:rPr>
          <w:rFonts w:hint="eastAsia" w:eastAsia="仿宋_GB2312"/>
          <w:sz w:val="32"/>
          <w:szCs w:val="32"/>
          <w:highlight w:val="none"/>
          <w:lang w:val="en-US" w:eastAsia="zh-CN"/>
        </w:rPr>
        <w:t>9</w:t>
      </w:r>
      <w:r>
        <w:rPr>
          <w:rFonts w:eastAsia="仿宋_GB2312"/>
          <w:sz w:val="32"/>
          <w:szCs w:val="32"/>
          <w:highlight w:val="none"/>
        </w:rPr>
        <w:t>月</w:t>
      </w:r>
      <w:r>
        <w:rPr>
          <w:rFonts w:hint="eastAsia" w:eastAsia="仿宋_GB2312"/>
          <w:sz w:val="32"/>
          <w:szCs w:val="32"/>
          <w:highlight w:val="none"/>
          <w:lang w:val="en-US" w:eastAsia="zh-CN"/>
        </w:rPr>
        <w:t>12</w:t>
      </w:r>
      <w:r>
        <w:rPr>
          <w:rFonts w:eastAsia="仿宋_GB2312"/>
          <w:sz w:val="32"/>
          <w:szCs w:val="32"/>
          <w:highlight w:val="none"/>
        </w:rPr>
        <w:t>日，将该</w:t>
      </w:r>
      <w:r>
        <w:rPr>
          <w:rFonts w:eastAsia="仿宋_GB2312"/>
          <w:sz w:val="32"/>
          <w:szCs w:val="32"/>
        </w:rPr>
        <w:t>项目</w:t>
      </w:r>
      <w:r>
        <w:rPr>
          <w:rFonts w:hint="eastAsia" w:eastAsia="仿宋_GB2312"/>
          <w:sz w:val="32"/>
          <w:szCs w:val="32"/>
        </w:rPr>
        <w:t>环评报告</w:t>
      </w:r>
      <w:r>
        <w:rPr>
          <w:rFonts w:hint="eastAsia" w:eastAsia="仿宋_GB2312"/>
          <w:sz w:val="32"/>
          <w:szCs w:val="32"/>
          <w:lang w:eastAsia="zh-CN"/>
        </w:rPr>
        <w:t>的</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eastAsia="仿宋_GB2312"/>
          <w:sz w:val="32"/>
          <w:szCs w:val="32"/>
        </w:rPr>
        <w:t>1</w:t>
      </w:r>
      <w:r>
        <w:rPr>
          <w:rFonts w:hint="eastAsia" w:eastAsia="仿宋_GB2312"/>
          <w:sz w:val="32"/>
          <w:szCs w:val="32"/>
        </w:rPr>
        <w:t>.</w:t>
      </w:r>
      <w:r>
        <w:rPr>
          <w:rFonts w:hint="default" w:ascii="Times New Roman" w:hAnsi="Times New Roman" w:eastAsia="仿宋_GB2312" w:cs="Times New Roman"/>
          <w:color w:val="auto"/>
          <w:sz w:val="32"/>
          <w:szCs w:val="32"/>
        </w:rPr>
        <w:t>施工期间应严格执行国家相关环保法律法规和落实环评报告中提出的污染防范措施：做到合法施工，文明生产，</w:t>
      </w:r>
      <w:r>
        <w:rPr>
          <w:rFonts w:hint="eastAsia" w:ascii="Times New Roman" w:hAnsi="Times New Roman" w:eastAsia="仿宋_GB2312" w:cs="Times New Roman"/>
          <w:color w:val="auto"/>
          <w:sz w:val="32"/>
          <w:szCs w:val="32"/>
          <w:lang w:eastAsia="zh-CN"/>
        </w:rPr>
        <w:t>妥善处置拆除的储罐和加油设施等</w:t>
      </w:r>
      <w:r>
        <w:rPr>
          <w:rFonts w:hint="default" w:ascii="Times New Roman" w:hAnsi="Times New Roman" w:eastAsia="仿宋_GB2312" w:cs="Times New Roman"/>
          <w:color w:val="auto"/>
          <w:sz w:val="32"/>
          <w:szCs w:val="32"/>
        </w:rPr>
        <w:t>固体</w:t>
      </w:r>
      <w:r>
        <w:rPr>
          <w:rFonts w:hint="eastAsia" w:ascii="Times New Roman" w:hAnsi="Times New Roman" w:eastAsia="仿宋_GB2312" w:cs="Times New Roman"/>
          <w:color w:val="auto"/>
          <w:sz w:val="32"/>
          <w:szCs w:val="32"/>
          <w:lang w:eastAsia="zh-CN"/>
        </w:rPr>
        <w:t>废弃物</w:t>
      </w:r>
      <w:r>
        <w:rPr>
          <w:rFonts w:hint="default" w:ascii="Times New Roman" w:hAnsi="Times New Roman" w:eastAsia="仿宋_GB2312" w:cs="Times New Roman"/>
          <w:color w:val="auto"/>
          <w:sz w:val="32"/>
          <w:szCs w:val="32"/>
        </w:rPr>
        <w:t>；合理安排施工时间和施工区域，加强对高噪声机械的管理。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2.运营期间，</w:t>
      </w:r>
      <w:r>
        <w:rPr>
          <w:rFonts w:hint="eastAsia" w:ascii="Times New Roman" w:hAnsi="Times New Roman" w:eastAsia="仿宋_GB2312" w:cs="Times New Roman"/>
          <w:color w:val="auto"/>
          <w:sz w:val="32"/>
          <w:szCs w:val="32"/>
        </w:rPr>
        <w:t>卸油产生的废气通过油气回收系统返回至油罐车内；加油过程</w:t>
      </w:r>
      <w:r>
        <w:rPr>
          <w:rFonts w:hint="default" w:ascii="Times New Roman" w:hAnsi="Times New Roman" w:eastAsia="仿宋_GB2312" w:cs="Times New Roman"/>
          <w:color w:val="auto"/>
          <w:sz w:val="32"/>
          <w:szCs w:val="32"/>
        </w:rPr>
        <w:t>产生的废气经收集</w:t>
      </w:r>
      <w:r>
        <w:rPr>
          <w:rFonts w:hint="eastAsia" w:ascii="Times New Roman" w:hAnsi="Times New Roman" w:eastAsia="仿宋_GB2312" w:cs="Times New Roman"/>
          <w:color w:val="auto"/>
          <w:sz w:val="32"/>
          <w:szCs w:val="32"/>
        </w:rPr>
        <w:t>后返回汽油储罐</w:t>
      </w:r>
      <w:r>
        <w:rPr>
          <w:rFonts w:hint="eastAsia" w:ascii="Times New Roman" w:hAnsi="Times New Roman" w:eastAsia="仿宋_GB2312" w:cs="Times New Roman"/>
          <w:color w:val="auto"/>
          <w:sz w:val="32"/>
          <w:szCs w:val="32"/>
          <w:lang w:eastAsia="zh-CN"/>
        </w:rPr>
        <w:t>；安装与轻型汽车ORVR系统兼容的油气处理装置</w:t>
      </w:r>
      <w:r>
        <w:rPr>
          <w:rFonts w:hint="eastAsia" w:eastAsia="仿宋_GB2312" w:cs="Times New Roman"/>
          <w:color w:val="auto"/>
          <w:sz w:val="32"/>
          <w:szCs w:val="32"/>
          <w:lang w:eastAsia="zh-CN"/>
        </w:rPr>
        <w:t>，汽油储罐呼吸产生的气体</w:t>
      </w:r>
      <w:r>
        <w:rPr>
          <w:rFonts w:hint="default" w:ascii="Times New Roman" w:hAnsi="Times New Roman" w:eastAsia="仿宋_GB2312" w:cs="Times New Roman"/>
          <w:color w:val="auto"/>
          <w:sz w:val="32"/>
          <w:szCs w:val="32"/>
        </w:rPr>
        <w:t>经收集</w:t>
      </w:r>
      <w:r>
        <w:rPr>
          <w:rFonts w:hint="eastAsia" w:eastAsia="仿宋_GB2312" w:cs="Times New Roman"/>
          <w:color w:val="auto"/>
          <w:sz w:val="32"/>
          <w:szCs w:val="32"/>
          <w:lang w:eastAsia="zh-CN"/>
        </w:rPr>
        <w:t>后</w:t>
      </w:r>
      <w:r>
        <w:rPr>
          <w:rFonts w:hint="default" w:ascii="Times New Roman" w:hAnsi="Times New Roman" w:eastAsia="仿宋_GB2312" w:cs="Times New Roman"/>
          <w:color w:val="auto"/>
          <w:sz w:val="32"/>
          <w:szCs w:val="32"/>
        </w:rPr>
        <w:t>进入</w:t>
      </w:r>
      <w:r>
        <w:rPr>
          <w:rFonts w:hint="eastAsia" w:eastAsia="仿宋_GB2312" w:cs="Times New Roman"/>
          <w:color w:val="auto"/>
          <w:sz w:val="32"/>
          <w:szCs w:val="32"/>
          <w:lang w:eastAsia="zh-CN"/>
        </w:rPr>
        <w:t>油气处理</w:t>
      </w:r>
      <w:r>
        <w:rPr>
          <w:rFonts w:hint="default" w:ascii="Times New Roman" w:hAnsi="Times New Roman" w:eastAsia="仿宋_GB2312" w:cs="Times New Roman"/>
          <w:color w:val="auto"/>
          <w:sz w:val="32"/>
          <w:szCs w:val="32"/>
        </w:rPr>
        <w:t>装置，处理</w:t>
      </w:r>
      <w:r>
        <w:rPr>
          <w:rFonts w:hint="eastAsia" w:eastAsia="仿宋_GB2312" w:cs="Times New Roman"/>
          <w:color w:val="auto"/>
          <w:sz w:val="32"/>
          <w:szCs w:val="32"/>
          <w:lang w:eastAsia="zh-CN"/>
        </w:rPr>
        <w:t>达标的尾气</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根</w:t>
      </w:r>
      <w:r>
        <w:rPr>
          <w:rFonts w:hint="eastAsia" w:ascii="Times New Roman" w:hAnsi="Times New Roman" w:eastAsia="仿宋_GB2312" w:cs="Times New Roman"/>
          <w:color w:val="auto"/>
          <w:sz w:val="32"/>
          <w:szCs w:val="32"/>
        </w:rPr>
        <w:t>4米</w:t>
      </w:r>
      <w:r>
        <w:rPr>
          <w:rFonts w:hint="default" w:ascii="Times New Roman" w:hAnsi="Times New Roman" w:eastAsia="仿宋_GB2312" w:cs="Times New Roman"/>
          <w:color w:val="auto"/>
          <w:sz w:val="32"/>
          <w:szCs w:val="32"/>
        </w:rPr>
        <w:t>高排气筒排放。</w:t>
      </w:r>
    </w:p>
    <w:p>
      <w:pPr>
        <w:spacing w:line="600" w:lineRule="exact"/>
        <w:ind w:firstLine="640" w:firstLineChars="200"/>
        <w:textAlignment w:val="baseline"/>
        <w:rPr>
          <w:rFonts w:eastAsia="仿宋_GB2312"/>
          <w:sz w:val="32"/>
          <w:szCs w:val="32"/>
        </w:rPr>
      </w:pPr>
      <w:r>
        <w:rPr>
          <w:rFonts w:hint="eastAsia" w:eastAsia="仿宋_GB2312"/>
          <w:sz w:val="32"/>
          <w:szCs w:val="32"/>
        </w:rPr>
        <w:t>使用</w:t>
      </w:r>
      <w:r>
        <w:rPr>
          <w:rFonts w:eastAsia="仿宋_GB2312"/>
          <w:sz w:val="32"/>
          <w:szCs w:val="32"/>
        </w:rPr>
        <w:t>密闭性好的设备，减少</w:t>
      </w:r>
      <w:r>
        <w:rPr>
          <w:rFonts w:hint="eastAsia" w:eastAsia="仿宋_GB2312"/>
          <w:sz w:val="32"/>
          <w:szCs w:val="32"/>
        </w:rPr>
        <w:t>废气</w:t>
      </w:r>
      <w:r>
        <w:rPr>
          <w:rFonts w:eastAsia="仿宋_GB2312"/>
          <w:sz w:val="32"/>
          <w:szCs w:val="32"/>
        </w:rPr>
        <w:t>的无组织排放</w:t>
      </w:r>
      <w:r>
        <w:rPr>
          <w:rFonts w:hint="eastAsia" w:eastAsia="仿宋_GB2312"/>
          <w:sz w:val="32"/>
          <w:szCs w:val="32"/>
        </w:rPr>
        <w:t>，确保废气无组织排放浓度满足厂界限值要求。</w:t>
      </w:r>
    </w:p>
    <w:p>
      <w:pPr>
        <w:spacing w:line="600" w:lineRule="exact"/>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3.洗车废水经沉淀处理后回用，不外排；</w:t>
      </w:r>
      <w:r>
        <w:rPr>
          <w:rFonts w:hint="eastAsia" w:ascii="Times New Roman" w:hAnsi="Times New Roman" w:eastAsia="仿宋_GB2312" w:cs="Times New Roman"/>
          <w:sz w:val="32"/>
          <w:szCs w:val="32"/>
          <w:lang w:val="en-US" w:eastAsia="zh-CN"/>
        </w:rPr>
        <w:t>生活污水经化粪池沉淀后定期清掏</w:t>
      </w:r>
      <w:r>
        <w:rPr>
          <w:rFonts w:hint="eastAsia" w:eastAsia="仿宋_GB2312"/>
          <w:bCs/>
          <w:color w:val="000000"/>
          <w:sz w:val="32"/>
          <w:szCs w:val="32"/>
        </w:rPr>
        <w:t>。</w:t>
      </w:r>
    </w:p>
    <w:p>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4</w:t>
      </w:r>
      <w:r>
        <w:rPr>
          <w:rFonts w:hint="eastAsia" w:eastAsia="仿宋_GB2312"/>
          <w:sz w:val="32"/>
          <w:szCs w:val="32"/>
        </w:rPr>
        <w:t>.站区应合理布局，选用低噪声设备，保证厂界噪声达标。</w:t>
      </w:r>
    </w:p>
    <w:p>
      <w:pPr>
        <w:spacing w:line="60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sz w:val="32"/>
          <w:szCs w:val="32"/>
          <w:lang w:val="en-US" w:eastAsia="zh-CN"/>
        </w:rPr>
        <w:t>5</w:t>
      </w:r>
      <w:r>
        <w:rPr>
          <w:rFonts w:hint="eastAsia" w:eastAsia="仿宋_GB2312"/>
          <w:sz w:val="32"/>
          <w:szCs w:val="32"/>
        </w:rPr>
        <w:t>.</w:t>
      </w:r>
      <w:r>
        <w:rPr>
          <w:rFonts w:hint="eastAsia" w:ascii="Times New Roman" w:hAnsi="Times New Roman" w:eastAsia="仿宋_GB2312" w:cs="Times New Roman"/>
          <w:sz w:val="32"/>
          <w:szCs w:val="32"/>
          <w:lang w:val="en-US" w:eastAsia="zh-CN"/>
        </w:rPr>
        <w:t>做好各类固体废物的收集、贮存、运输和处置，做到资源化、减量化、无害化。</w:t>
      </w:r>
      <w:r>
        <w:rPr>
          <w:rFonts w:hint="eastAsia" w:eastAsia="仿宋_GB2312" w:cs="Times New Roman"/>
          <w:sz w:val="32"/>
          <w:szCs w:val="32"/>
          <w:lang w:val="en-US" w:eastAsia="zh-CN"/>
        </w:rPr>
        <w:t>含油</w:t>
      </w:r>
      <w:r>
        <w:rPr>
          <w:rFonts w:hint="eastAsia" w:ascii="Times New Roman" w:hAnsi="Times New Roman" w:eastAsia="仿宋_GB2312" w:cs="Times New Roman"/>
          <w:sz w:val="32"/>
          <w:szCs w:val="32"/>
          <w:lang w:val="en-US" w:eastAsia="zh-CN"/>
        </w:rPr>
        <w:t>沾染废物、</w:t>
      </w:r>
      <w:r>
        <w:rPr>
          <w:rFonts w:hint="eastAsia" w:eastAsia="仿宋_GB2312" w:cs="Times New Roman"/>
          <w:sz w:val="32"/>
          <w:szCs w:val="32"/>
          <w:lang w:val="en-US" w:eastAsia="zh-CN"/>
        </w:rPr>
        <w:t>清罐产生的废油和油泥</w:t>
      </w:r>
      <w:r>
        <w:rPr>
          <w:rFonts w:hint="eastAsia" w:ascii="Times New Roman" w:hAnsi="Times New Roman" w:eastAsia="仿宋_GB2312" w:cs="Times New Roman"/>
          <w:sz w:val="32"/>
          <w:szCs w:val="32"/>
          <w:lang w:val="en-US" w:eastAsia="zh-CN"/>
        </w:rPr>
        <w:t>、</w:t>
      </w:r>
      <w:r>
        <w:rPr>
          <w:rFonts w:hint="eastAsia" w:eastAsia="仿宋_GB2312" w:cs="Times New Roman"/>
          <w:color w:val="auto"/>
          <w:sz w:val="32"/>
          <w:szCs w:val="32"/>
          <w:lang w:eastAsia="zh-CN"/>
        </w:rPr>
        <w:t>油气处理</w:t>
      </w:r>
      <w:r>
        <w:rPr>
          <w:rFonts w:hint="default" w:ascii="Times New Roman" w:hAnsi="Times New Roman" w:eastAsia="仿宋_GB2312" w:cs="Times New Roman"/>
          <w:color w:val="auto"/>
          <w:sz w:val="32"/>
          <w:szCs w:val="32"/>
        </w:rPr>
        <w:t>装置</w:t>
      </w:r>
      <w:r>
        <w:rPr>
          <w:rFonts w:hint="eastAsia" w:eastAsia="仿宋_GB2312" w:cs="Times New Roman"/>
          <w:color w:val="auto"/>
          <w:sz w:val="32"/>
          <w:szCs w:val="32"/>
          <w:lang w:eastAsia="zh-CN"/>
        </w:rPr>
        <w:t>的废膜组件、</w:t>
      </w:r>
      <w:r>
        <w:rPr>
          <w:rFonts w:hint="eastAsia" w:ascii="Times New Roman" w:hAnsi="Times New Roman" w:eastAsia="仿宋_GB2312" w:cs="Times New Roman"/>
          <w:sz w:val="32"/>
          <w:szCs w:val="32"/>
          <w:lang w:val="en-US" w:eastAsia="zh-CN"/>
        </w:rPr>
        <w:t>油气通气管</w:t>
      </w:r>
      <w:r>
        <w:rPr>
          <w:rFonts w:hint="eastAsia" w:eastAsia="仿宋_GB2312" w:cs="Times New Roman"/>
          <w:sz w:val="32"/>
          <w:szCs w:val="32"/>
          <w:lang w:val="en-US" w:eastAsia="zh-CN"/>
        </w:rPr>
        <w:t>的废</w:t>
      </w:r>
      <w:r>
        <w:rPr>
          <w:rFonts w:hint="eastAsia" w:ascii="Times New Roman" w:hAnsi="Times New Roman" w:eastAsia="仿宋_GB2312" w:cs="Times New Roman"/>
          <w:sz w:val="32"/>
          <w:szCs w:val="32"/>
          <w:lang w:val="en-US" w:eastAsia="zh-CN"/>
        </w:rPr>
        <w:t>干燥器等危险废物须交由有相应资质的单位进行处理、处置</w:t>
      </w:r>
      <w:r>
        <w:rPr>
          <w:rFonts w:hint="eastAsia" w:eastAsia="仿宋_GB2312" w:cs="Times New Roman"/>
          <w:sz w:val="32"/>
          <w:szCs w:val="32"/>
          <w:lang w:val="en-US" w:eastAsia="zh-CN"/>
        </w:rPr>
        <w:t xml:space="preserve">；生活垃圾和沉淀池的污泥及废水由相关单位定期清运。 </w:t>
      </w:r>
    </w:p>
    <w:p>
      <w:pPr>
        <w:spacing w:line="600" w:lineRule="exact"/>
        <w:ind w:firstLine="640" w:firstLineChars="200"/>
        <w:textAlignment w:val="baseline"/>
        <w:rPr>
          <w:rFonts w:eastAsia="仿宋_GB2312"/>
          <w:sz w:val="32"/>
          <w:szCs w:val="32"/>
        </w:rPr>
      </w:pPr>
      <w:r>
        <w:rPr>
          <w:rFonts w:hint="eastAsia" w:ascii="Times New Roman" w:hAnsi="Times New Roman" w:eastAsia="仿宋_GB2312" w:cs="Times New Roman"/>
          <w:sz w:val="32"/>
          <w:szCs w:val="32"/>
        </w:rPr>
        <w:t>危险废物暂存</w:t>
      </w:r>
      <w:r>
        <w:rPr>
          <w:rFonts w:hint="eastAsia" w:eastAsia="仿宋_GB2312" w:cs="Times New Roman"/>
          <w:sz w:val="32"/>
          <w:szCs w:val="32"/>
          <w:lang w:eastAsia="zh-CN"/>
        </w:rPr>
        <w:t>场所</w:t>
      </w:r>
      <w:r>
        <w:rPr>
          <w:rFonts w:hint="eastAsia" w:ascii="Times New Roman" w:hAnsi="Times New Roman" w:eastAsia="仿宋_GB2312" w:cs="Times New Roman"/>
          <w:sz w:val="32"/>
          <w:szCs w:val="32"/>
        </w:rPr>
        <w:t>应</w:t>
      </w:r>
      <w:r>
        <w:rPr>
          <w:rFonts w:hint="eastAsia" w:eastAsia="仿宋_GB2312" w:cs="Times New Roman"/>
          <w:sz w:val="32"/>
          <w:szCs w:val="32"/>
          <w:lang w:eastAsia="zh-CN"/>
        </w:rPr>
        <w:t>按照相关规定</w:t>
      </w:r>
      <w:r>
        <w:rPr>
          <w:rFonts w:hint="eastAsia" w:ascii="Times New Roman" w:hAnsi="Times New Roman" w:eastAsia="仿宋_GB2312" w:cs="Times New Roman"/>
          <w:sz w:val="32"/>
          <w:szCs w:val="32"/>
        </w:rPr>
        <w:t>进行</w:t>
      </w:r>
      <w:r>
        <w:rPr>
          <w:rFonts w:hint="eastAsia" w:eastAsia="仿宋_GB2312" w:cs="Times New Roman"/>
          <w:sz w:val="32"/>
          <w:szCs w:val="32"/>
          <w:lang w:eastAsia="zh-CN"/>
        </w:rPr>
        <w:t>建设</w:t>
      </w:r>
      <w:r>
        <w:rPr>
          <w:rFonts w:hint="eastAsia" w:ascii="Times New Roman" w:hAnsi="Times New Roman" w:eastAsia="仿宋_GB2312" w:cs="Times New Roman"/>
          <w:sz w:val="32"/>
          <w:szCs w:val="32"/>
        </w:rPr>
        <w:t>和管理</w:t>
      </w:r>
      <w:r>
        <w:rPr>
          <w:rFonts w:hint="eastAsia" w:eastAsia="仿宋_GB2312" w:cs="Times New Roman"/>
          <w:sz w:val="32"/>
          <w:szCs w:val="32"/>
          <w:lang w:eastAsia="zh-CN"/>
        </w:rPr>
        <w:t>，并</w:t>
      </w:r>
      <w:r>
        <w:rPr>
          <w:rFonts w:hint="default" w:ascii="Times New Roman" w:hAnsi="Times New Roman" w:eastAsia="仿宋_GB2312" w:cs="Times New Roman"/>
          <w:sz w:val="32"/>
          <w:szCs w:val="32"/>
          <w:lang w:eastAsia="zh-CN"/>
        </w:rPr>
        <w:t>按照《工业危险废物产生单位规范化管理指标及抽查表》做好危险废物规范化管理工作。</w:t>
      </w:r>
    </w:p>
    <w:p>
      <w:pPr>
        <w:numPr>
          <w:ilvl w:val="0"/>
          <w:numId w:val="0"/>
        </w:numPr>
        <w:spacing w:line="600" w:lineRule="exact"/>
        <w:textAlignment w:val="baseline"/>
        <w:rPr>
          <w:rFonts w:hint="default" w:ascii="Times New Roman" w:hAnsi="Times New Roman" w:eastAsia="仿宋_GB2312" w:cs="Times New Roman"/>
          <w:color w:val="auto"/>
          <w:sz w:val="32"/>
          <w:szCs w:val="32"/>
          <w:lang w:val="en-US" w:eastAsia="zh-CN"/>
        </w:rPr>
      </w:pPr>
      <w:r>
        <w:rPr>
          <w:rFonts w:hint="eastAsia" w:eastAsia="仿宋_GB2312" w:cs="Times New Roman"/>
          <w:bCs/>
          <w:color w:val="auto"/>
          <w:sz w:val="32"/>
          <w:szCs w:val="32"/>
          <w:lang w:val="en-US" w:eastAsia="zh-CN"/>
        </w:rPr>
        <w:t xml:space="preserve">    6.</w:t>
      </w:r>
      <w:r>
        <w:rPr>
          <w:rFonts w:hint="default" w:ascii="Times New Roman" w:hAnsi="Times New Roman" w:eastAsia="仿宋_GB2312" w:cs="Times New Roman"/>
          <w:bCs/>
          <w:color w:val="auto"/>
          <w:sz w:val="32"/>
          <w:szCs w:val="32"/>
        </w:rPr>
        <w:t>采取严格的防渗、防泄漏、防腐蚀、加强管理等措施</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做好地下水污染和土壤污染的防控工作：完善分区防渗，合理设置地下水监测井。</w:t>
      </w:r>
    </w:p>
    <w:p>
      <w:pPr>
        <w:numPr>
          <w:ilvl w:val="0"/>
          <w:numId w:val="0"/>
        </w:numPr>
        <w:spacing w:line="600" w:lineRule="exact"/>
        <w:textAlignment w:val="baseline"/>
        <w:rPr>
          <w:rFonts w:hint="default" w:ascii="Times New Roman" w:hAnsi="Times New Roman" w:eastAsia="仿宋_GB2312" w:cs="Times New Roman"/>
          <w:color w:val="auto"/>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rPr>
        <w:t>留</w:t>
      </w:r>
      <w:r>
        <w:rPr>
          <w:rFonts w:hint="eastAsia" w:eastAsia="仿宋_GB2312" w:cs="Times New Roman"/>
          <w:sz w:val="32"/>
          <w:szCs w:val="32"/>
          <w:lang w:eastAsia="zh-CN"/>
        </w:rPr>
        <w:t>存</w:t>
      </w:r>
      <w:r>
        <w:rPr>
          <w:rFonts w:hint="eastAsia" w:ascii="Times New Roman" w:hAnsi="Times New Roman" w:eastAsia="仿宋_GB2312" w:cs="Times New Roman"/>
          <w:sz w:val="32"/>
          <w:szCs w:val="32"/>
        </w:rPr>
        <w:t>隐蔽工程施工期间的影像资料，作为项目竣工环境保护验收的凭证。</w:t>
      </w:r>
    </w:p>
    <w:p>
      <w:pPr>
        <w:numPr>
          <w:ilvl w:val="0"/>
          <w:numId w:val="0"/>
        </w:numPr>
        <w:spacing w:line="600" w:lineRule="exact"/>
        <w:ind w:firstLine="640"/>
        <w:textAlignment w:val="baseline"/>
        <w:rPr>
          <w:rFonts w:hint="eastAsia" w:eastAsia="仿宋_GB2312"/>
          <w:sz w:val="32"/>
          <w:szCs w:val="32"/>
          <w:lang w:eastAsia="zh-CN"/>
        </w:rPr>
      </w:pPr>
      <w:r>
        <w:rPr>
          <w:rFonts w:hint="eastAsia" w:eastAsia="仿宋_GB2312"/>
          <w:sz w:val="32"/>
          <w:szCs w:val="32"/>
          <w:lang w:val="en-US" w:eastAsia="zh-CN"/>
        </w:rPr>
        <w:t>7.</w:t>
      </w:r>
      <w:r>
        <w:rPr>
          <w:rFonts w:hint="eastAsia" w:eastAsia="仿宋_GB2312"/>
          <w:sz w:val="32"/>
          <w:szCs w:val="32"/>
          <w:lang w:eastAsia="zh-CN"/>
        </w:rPr>
        <w:t>落实报告表提出的环境监测计划，定期开展监测工作。</w:t>
      </w:r>
    </w:p>
    <w:p>
      <w:pPr>
        <w:numPr>
          <w:ilvl w:val="0"/>
          <w:numId w:val="0"/>
        </w:numPr>
        <w:spacing w:line="600" w:lineRule="exact"/>
        <w:ind w:firstLine="640"/>
        <w:textAlignment w:val="baseline"/>
        <w:rPr>
          <w:rFonts w:hint="eastAsia" w:ascii="Times New Roman" w:hAnsi="Times New Roman" w:eastAsia="仿宋_GB2312" w:cs="Times New Roman"/>
          <w:color w:val="auto"/>
          <w:kern w:val="2"/>
          <w:sz w:val="32"/>
          <w:szCs w:val="32"/>
          <w:lang w:val="en-US" w:eastAsia="zh-CN" w:bidi="ar-SA"/>
        </w:rPr>
      </w:pPr>
      <w:r>
        <w:rPr>
          <w:rFonts w:hint="eastAsia" w:eastAsia="仿宋_GB2312"/>
          <w:sz w:val="32"/>
          <w:szCs w:val="32"/>
          <w:lang w:val="en-US" w:eastAsia="zh-CN"/>
        </w:rPr>
        <w:t>8.</w:t>
      </w:r>
      <w:r>
        <w:rPr>
          <w:rFonts w:hint="eastAsia" w:eastAsia="仿宋_GB2312"/>
          <w:sz w:val="32"/>
          <w:szCs w:val="32"/>
          <w:lang w:eastAsia="zh-CN"/>
        </w:rPr>
        <w:t>做好</w:t>
      </w:r>
      <w:r>
        <w:rPr>
          <w:rFonts w:hint="eastAsia" w:ascii="Times New Roman" w:hAnsi="Times New Roman" w:eastAsia="仿宋_GB2312" w:cs="Times New Roman"/>
          <w:color w:val="auto"/>
          <w:kern w:val="2"/>
          <w:sz w:val="32"/>
          <w:szCs w:val="32"/>
          <w:lang w:val="en-US" w:eastAsia="zh-CN" w:bidi="ar-SA"/>
        </w:rPr>
        <w:t>排污口规范化工作，设置规范的</w:t>
      </w:r>
      <w:r>
        <w:rPr>
          <w:rFonts w:hint="eastAsia" w:ascii="Times New Roman" w:eastAsia="仿宋_GB2312" w:cs="Times New Roman"/>
          <w:color w:val="auto"/>
          <w:kern w:val="2"/>
          <w:sz w:val="32"/>
          <w:szCs w:val="32"/>
          <w:lang w:val="en-US" w:eastAsia="zh-CN" w:bidi="ar-SA"/>
        </w:rPr>
        <w:t>废气</w:t>
      </w:r>
      <w:r>
        <w:rPr>
          <w:rFonts w:hint="eastAsia" w:ascii="Times New Roman" w:hAnsi="Times New Roman" w:eastAsia="仿宋_GB2312" w:cs="Times New Roman"/>
          <w:color w:val="auto"/>
          <w:kern w:val="2"/>
          <w:sz w:val="32"/>
          <w:szCs w:val="32"/>
          <w:lang w:val="en-US" w:eastAsia="zh-CN" w:bidi="ar-SA"/>
        </w:rPr>
        <w:t>采样点，</w:t>
      </w:r>
      <w:r>
        <w:rPr>
          <w:rFonts w:hint="eastAsia" w:ascii="Times New Roman" w:eastAsia="仿宋_GB2312" w:cs="Times New Roman"/>
          <w:color w:val="auto"/>
          <w:kern w:val="2"/>
          <w:sz w:val="32"/>
          <w:szCs w:val="32"/>
          <w:lang w:val="en-US" w:eastAsia="zh-CN" w:bidi="ar-SA"/>
        </w:rPr>
        <w:t>并</w:t>
      </w:r>
      <w:r>
        <w:rPr>
          <w:rFonts w:hint="eastAsia" w:ascii="Times New Roman" w:hAnsi="Times New Roman" w:eastAsia="仿宋_GB2312" w:cs="Times New Roman"/>
          <w:color w:val="auto"/>
          <w:kern w:val="2"/>
          <w:sz w:val="32"/>
          <w:szCs w:val="32"/>
          <w:lang w:val="en-US" w:eastAsia="zh-CN" w:bidi="ar-SA"/>
        </w:rPr>
        <w:t>悬挂符合要求的标识牌。</w:t>
      </w:r>
    </w:p>
    <w:p>
      <w:pPr>
        <w:numPr>
          <w:ilvl w:val="0"/>
          <w:numId w:val="0"/>
        </w:numPr>
        <w:spacing w:line="600" w:lineRule="exact"/>
        <w:textAlignment w:val="baseline"/>
        <w:rPr>
          <w:rFonts w:eastAsia="仿宋_GB2312"/>
          <w:sz w:val="32"/>
          <w:szCs w:val="32"/>
        </w:rPr>
      </w:pPr>
      <w:r>
        <w:rPr>
          <w:rFonts w:hint="eastAsia" w:eastAsia="仿宋_GB2312"/>
          <w:sz w:val="32"/>
          <w:szCs w:val="32"/>
          <w:lang w:val="en-US" w:eastAsia="zh-CN"/>
        </w:rPr>
        <w:t xml:space="preserve">    9.</w:t>
      </w:r>
      <w:r>
        <w:rPr>
          <w:rFonts w:hint="eastAsia" w:eastAsia="仿宋_GB2312"/>
          <w:sz w:val="32"/>
          <w:szCs w:val="32"/>
        </w:rPr>
        <w:t>强化各项环境风险防范措施，</w:t>
      </w:r>
      <w:r>
        <w:rPr>
          <w:rFonts w:hint="eastAsia" w:eastAsia="仿宋_GB2312" w:cs="Times New Roman"/>
          <w:color w:val="auto"/>
          <w:sz w:val="32"/>
          <w:szCs w:val="32"/>
          <w:lang w:val="en-US" w:eastAsia="zh-CN"/>
        </w:rPr>
        <w:t>编制</w:t>
      </w:r>
      <w:r>
        <w:rPr>
          <w:rFonts w:hint="default" w:ascii="Times New Roman" w:hAnsi="Times New Roman" w:eastAsia="仿宋_GB2312" w:cs="Times New Roman"/>
          <w:color w:val="auto"/>
          <w:sz w:val="32"/>
          <w:szCs w:val="32"/>
          <w:lang w:val="en-US" w:eastAsia="zh-CN"/>
        </w:rPr>
        <w:t>突发环境风险应急预案并向区生态环境局报备</w:t>
      </w:r>
      <w:r>
        <w:rPr>
          <w:rFonts w:hint="eastAsia" w:eastAsia="仿宋_GB2312" w:cs="Times New Roman"/>
          <w:color w:val="auto"/>
          <w:kern w:val="44"/>
          <w:sz w:val="32"/>
          <w:szCs w:val="32"/>
          <w:lang w:val="en-US" w:eastAsia="zh-CN" w:bidi="ar-SA"/>
        </w:rPr>
        <w:t>；</w:t>
      </w:r>
      <w:r>
        <w:rPr>
          <w:rFonts w:hint="default" w:ascii="Times New Roman" w:hAnsi="Times New Roman" w:eastAsia="仿宋_GB2312" w:cs="Times New Roman"/>
          <w:color w:val="auto"/>
          <w:kern w:val="44"/>
          <w:sz w:val="32"/>
          <w:szCs w:val="32"/>
          <w:lang w:val="en-US" w:eastAsia="zh-CN" w:bidi="ar-SA"/>
        </w:rPr>
        <w:t>定期开展突发环境事件应急演练，提高应对突发环境风险事故的处理能力，有效防范环境风险。</w:t>
      </w:r>
    </w:p>
    <w:p>
      <w:pPr>
        <w:spacing w:line="360" w:lineRule="auto"/>
        <w:ind w:firstLine="640" w:firstLineChars="200"/>
        <w:textAlignment w:val="baseline"/>
        <w:rPr>
          <w:rFonts w:eastAsia="仿宋_GB2312"/>
          <w:sz w:val="32"/>
          <w:szCs w:val="32"/>
          <w:highlight w:val="yellow"/>
        </w:rPr>
      </w:pPr>
      <w:r>
        <w:rPr>
          <w:rFonts w:hint="eastAsia" w:eastAsia="仿宋_GB2312" w:cs="Times New Roman"/>
          <w:sz w:val="32"/>
          <w:szCs w:val="32"/>
          <w:lang w:val="en-US" w:eastAsia="zh-CN"/>
        </w:rPr>
        <w:t>三、</w:t>
      </w:r>
      <w:r>
        <w:rPr>
          <w:rFonts w:hint="default" w:eastAsia="仿宋_GB2312" w:cs="Times New Roman"/>
          <w:sz w:val="32"/>
          <w:szCs w:val="32"/>
          <w:lang w:val="en-US" w:eastAsia="zh-CN"/>
        </w:rPr>
        <w:t>项目</w:t>
      </w:r>
      <w:r>
        <w:rPr>
          <w:rFonts w:hint="default" w:ascii="Times New Roman" w:hAnsi="Times New Roman" w:eastAsia="仿宋_GB2312" w:cs="Times New Roman"/>
          <w:sz w:val="32"/>
          <w:szCs w:val="32"/>
        </w:rPr>
        <w:t>不</w:t>
      </w:r>
      <w:r>
        <w:rPr>
          <w:rFonts w:hint="eastAsia" w:ascii="Times New Roman" w:hAnsi="Times New Roman" w:eastAsia="仿宋_GB2312" w:cs="Times New Roman"/>
          <w:sz w:val="32"/>
          <w:szCs w:val="32"/>
          <w:lang w:val="en-US" w:eastAsia="zh-CN"/>
        </w:rPr>
        <w:t>涉及</w:t>
      </w:r>
      <w:r>
        <w:rPr>
          <w:rFonts w:hint="eastAsia" w:eastAsia="仿宋_GB2312" w:cs="Times New Roman"/>
          <w:sz w:val="32"/>
          <w:szCs w:val="32"/>
          <w:lang w:val="en-US" w:eastAsia="zh-CN"/>
        </w:rPr>
        <w:t>重点</w:t>
      </w:r>
      <w:r>
        <w:rPr>
          <w:rFonts w:hint="default" w:ascii="Times New Roman" w:hAnsi="Times New Roman" w:eastAsia="仿宋_GB2312" w:cs="Times New Roman"/>
          <w:sz w:val="32"/>
          <w:szCs w:val="32"/>
        </w:rPr>
        <w:t>污染物排放总量。</w:t>
      </w:r>
    </w:p>
    <w:p>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spacing w:line="600" w:lineRule="exact"/>
        <w:ind w:firstLine="640" w:firstLineChars="200"/>
        <w:textAlignment w:val="baseline"/>
        <w:rPr>
          <w:rFonts w:eastAsia="仿宋_GB2312"/>
          <w:sz w:val="32"/>
          <w:szCs w:val="32"/>
        </w:rPr>
      </w:pPr>
      <w:r>
        <w:rPr>
          <w:rFonts w:hint="eastAsia" w:eastAsia="仿宋_GB2312"/>
          <w:sz w:val="32"/>
          <w:szCs w:val="32"/>
        </w:rPr>
        <w:t>五、项目应执行以下</w:t>
      </w:r>
      <w:r>
        <w:rPr>
          <w:rFonts w:hint="eastAsia" w:eastAsia="仿宋_GB2312"/>
          <w:sz w:val="32"/>
          <w:szCs w:val="32"/>
          <w:lang w:eastAsia="zh-CN"/>
        </w:rPr>
        <w:t>污染物排放</w:t>
      </w:r>
      <w:r>
        <w:rPr>
          <w:rFonts w:hint="eastAsia" w:eastAsia="仿宋_GB2312"/>
          <w:sz w:val="32"/>
          <w:szCs w:val="32"/>
        </w:rPr>
        <w:t>标准：</w:t>
      </w:r>
    </w:p>
    <w:p>
      <w:pPr>
        <w:pStyle w:val="6"/>
        <w:keepNext w:val="0"/>
        <w:keepLines w:val="0"/>
        <w:widowControl/>
        <w:suppressLineNumbers w:val="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1.</w:t>
      </w:r>
      <w:r>
        <w:rPr>
          <w:rFonts w:hint="default" w:ascii="Times New Roman" w:hAnsi="Times New Roman" w:eastAsia="仿宋_GB2312" w:cs="Times New Roman"/>
          <w:kern w:val="2"/>
          <w:sz w:val="32"/>
          <w:szCs w:val="32"/>
          <w:lang w:val="en-US" w:eastAsia="zh-CN" w:bidi="ar-SA"/>
        </w:rPr>
        <w:t>《加油站大气污染物排放标准》（</w:t>
      </w:r>
      <w:r>
        <w:rPr>
          <w:rFonts w:hint="eastAsia" w:ascii="Times New Roman" w:hAnsi="Times New Roman" w:eastAsia="仿宋_GB2312" w:cs="Times New Roman"/>
          <w:kern w:val="2"/>
          <w:sz w:val="32"/>
          <w:szCs w:val="32"/>
          <w:lang w:val="en-US" w:eastAsia="zh-CN" w:bidi="ar-SA"/>
        </w:rPr>
        <w:t>DB12/1302-2024</w:t>
      </w:r>
      <w:r>
        <w:rPr>
          <w:rFonts w:hint="default" w:ascii="Times New Roman" w:hAnsi="Times New Roman" w:eastAsia="仿宋_GB2312" w:cs="Times New Roman"/>
          <w:kern w:val="2"/>
          <w:sz w:val="32"/>
          <w:szCs w:val="32"/>
          <w:lang w:val="en-US" w:eastAsia="zh-CN" w:bidi="ar-SA"/>
        </w:rPr>
        <w:t>）；</w:t>
      </w:r>
    </w:p>
    <w:p>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3类、</w:t>
      </w:r>
      <w:r>
        <w:rPr>
          <w:rFonts w:hint="default" w:ascii="Times New Roman" w:hAnsi="Times New Roman" w:eastAsia="仿宋_GB2312" w:cs="Times New Roman"/>
          <w:sz w:val="32"/>
          <w:szCs w:val="32"/>
        </w:rPr>
        <w:t>4类；</w:t>
      </w:r>
    </w:p>
    <w:p>
      <w:pPr>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《危险废物贮存污染控制标准》（GB18597-2023）；</w:t>
      </w:r>
    </w:p>
    <w:p>
      <w:pPr>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《危险废物收集 贮存 运输技术规范》（HJ2025-2012）；</w:t>
      </w:r>
    </w:p>
    <w:p>
      <w:pPr>
        <w:spacing w:line="600" w:lineRule="exact"/>
        <w:ind w:firstLine="630"/>
        <w:textAlignment w:val="baseline"/>
        <w:rPr>
          <w:rFonts w:eastAsia="仿宋_GB2312"/>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eastAsia="仿宋_GB2312"/>
          <w:sz w:val="32"/>
          <w:szCs w:val="32"/>
        </w:rPr>
        <w:t>一般工业固体废物贮存</w:t>
      </w:r>
      <w:r>
        <w:rPr>
          <w:rFonts w:hint="eastAsia" w:eastAsia="仿宋_GB2312"/>
          <w:sz w:val="32"/>
          <w:szCs w:val="32"/>
        </w:rPr>
        <w:t>和填埋</w:t>
      </w:r>
      <w:r>
        <w:rPr>
          <w:rFonts w:eastAsia="仿宋_GB2312"/>
          <w:sz w:val="32"/>
          <w:szCs w:val="32"/>
        </w:rPr>
        <w:t>污染控制标准</w:t>
      </w:r>
      <w:r>
        <w:rPr>
          <w:rFonts w:hint="eastAsia" w:eastAsia="仿宋_GB2312"/>
          <w:sz w:val="32"/>
          <w:szCs w:val="32"/>
        </w:rPr>
        <w:t>》（</w:t>
      </w:r>
      <w:r>
        <w:rPr>
          <w:rFonts w:eastAsia="仿宋_GB2312"/>
          <w:sz w:val="32"/>
          <w:szCs w:val="32"/>
        </w:rPr>
        <w:t>GB18599-20</w:t>
      </w:r>
      <w:r>
        <w:rPr>
          <w:rFonts w:eastAsia="仿宋_GB2312"/>
          <w:sz w:val="32"/>
          <w:szCs w:val="32"/>
          <w:lang w:val="en"/>
        </w:rPr>
        <w:t>20</w:t>
      </w:r>
      <w:r>
        <w:rPr>
          <w:rFonts w:hint="eastAsia" w:eastAsia="仿宋_GB2312"/>
          <w:sz w:val="32"/>
          <w:szCs w:val="32"/>
        </w:rPr>
        <w:t>）。</w:t>
      </w:r>
    </w:p>
    <w:p>
      <w:pPr>
        <w:spacing w:line="600" w:lineRule="exact"/>
        <w:ind w:firstLine="640" w:firstLineChars="200"/>
        <w:textAlignment w:val="baseline"/>
        <w:rPr>
          <w:rFonts w:eastAsia="仿宋_GB2312"/>
          <w:sz w:val="32"/>
          <w:szCs w:val="32"/>
        </w:rPr>
      </w:pPr>
      <w:r>
        <w:rPr>
          <w:rFonts w:hint="eastAsia" w:eastAsia="仿宋_GB2312"/>
          <w:sz w:val="32"/>
          <w:szCs w:val="32"/>
        </w:rPr>
        <w:t>此复。</w:t>
      </w:r>
    </w:p>
    <w:p/>
    <w:p>
      <w:pPr>
        <w:pStyle w:val="2"/>
      </w:pPr>
    </w:p>
    <w:p/>
    <w:p/>
    <w:p/>
    <w:p>
      <w:pPr>
        <w:wordWrap w:val="0"/>
        <w:spacing w:line="360" w:lineRule="auto"/>
        <w:ind w:firstLine="2800" w:firstLineChars="1000"/>
        <w:jc w:val="right"/>
        <w:rPr>
          <w:rFonts w:eastAsia="仿宋_GB2312"/>
          <w:sz w:val="32"/>
        </w:rPr>
      </w:pPr>
      <w:r>
        <w:rPr>
          <w:rFonts w:eastAsia="仿宋_GB2312"/>
          <w:sz w:val="28"/>
          <w:szCs w:val="28"/>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年</w:t>
      </w:r>
      <w:r>
        <w:rPr>
          <w:rFonts w:hint="eastAsia" w:eastAsia="仿宋_GB2312"/>
          <w:color w:val="auto"/>
          <w:sz w:val="32"/>
          <w:szCs w:val="32"/>
          <w:highlight w:val="none"/>
          <w:lang w:val="en-US" w:eastAsia="zh-CN"/>
        </w:rPr>
        <w:t>9</w:t>
      </w:r>
      <w:r>
        <w:rPr>
          <w:rFonts w:eastAsia="仿宋_GB2312"/>
          <w:color w:val="auto"/>
          <w:sz w:val="32"/>
          <w:szCs w:val="32"/>
          <w:highlight w:val="none"/>
        </w:rPr>
        <w:t>月</w:t>
      </w:r>
      <w:r>
        <w:rPr>
          <w:rFonts w:hint="eastAsia" w:eastAsia="仿宋_GB2312"/>
          <w:color w:val="auto"/>
          <w:sz w:val="32"/>
          <w:szCs w:val="32"/>
          <w:highlight w:val="none"/>
          <w:lang w:val="en-US" w:eastAsia="zh-CN"/>
        </w:rPr>
        <w:t>13</w:t>
      </w:r>
      <w:r>
        <w:rPr>
          <w:rFonts w:eastAsia="仿宋_GB2312"/>
          <w:color w:val="auto"/>
          <w:sz w:val="32"/>
          <w:szCs w:val="32"/>
          <w:highlight w:val="none"/>
        </w:rPr>
        <w:t>日</w:t>
      </w:r>
      <w:r>
        <w:rPr>
          <w:rFonts w:hint="eastAsia" w:eastAsia="仿宋_GB2312"/>
          <w:sz w:val="32"/>
        </w:rPr>
        <w:t xml:space="preserve">    </w:t>
      </w:r>
    </w:p>
    <w:p>
      <w:pPr>
        <w:pStyle w:val="2"/>
        <w:pageBreakBefore w:val="0"/>
        <w:widowControl w:val="0"/>
        <w:kinsoku/>
        <w:wordWrap/>
        <w:overflowPunct/>
        <w:topLinePunct w:val="0"/>
        <w:autoSpaceDE/>
        <w:autoSpaceDN/>
        <w:bidi w:val="0"/>
        <w:adjustRightInd/>
        <w:snapToGrid/>
        <w:spacing w:line="560" w:lineRule="exact"/>
        <w:textAlignment w:val="auto"/>
      </w:pPr>
    </w:p>
    <w:p/>
    <w:p>
      <w:pPr>
        <w:pStyle w:val="2"/>
        <w:pageBreakBefore w:val="0"/>
        <w:widowControl w:val="0"/>
        <w:kinsoku/>
        <w:wordWrap/>
        <w:overflowPunct/>
        <w:topLinePunct w:val="0"/>
        <w:autoSpaceDE/>
        <w:autoSpaceDN/>
        <w:bidi w:val="0"/>
        <w:adjustRightInd/>
        <w:snapToGrid/>
        <w:spacing w:line="420" w:lineRule="exact"/>
        <w:textAlignment w:val="auto"/>
      </w:pPr>
    </w:p>
    <w:p>
      <w:pPr>
        <w:pageBreakBefore w:val="0"/>
        <w:widowControl w:val="0"/>
        <w:kinsoku/>
        <w:wordWrap/>
        <w:overflowPunct/>
        <w:topLinePunct w:val="0"/>
        <w:autoSpaceDE/>
        <w:autoSpaceDN/>
        <w:bidi w:val="0"/>
        <w:adjustRightInd/>
        <w:snapToGrid/>
        <w:spacing w:line="420" w:lineRule="exact"/>
        <w:textAlignment w:val="auto"/>
      </w:pPr>
    </w:p>
    <w:p>
      <w:pPr>
        <w:pStyle w:val="2"/>
        <w:pageBreakBefore w:val="0"/>
        <w:widowControl w:val="0"/>
        <w:kinsoku/>
        <w:wordWrap/>
        <w:overflowPunct/>
        <w:topLinePunct w:val="0"/>
        <w:autoSpaceDE/>
        <w:autoSpaceDN/>
        <w:bidi w:val="0"/>
        <w:adjustRightInd/>
        <w:snapToGrid/>
        <w:spacing w:line="420" w:lineRule="exact"/>
        <w:textAlignment w:val="auto"/>
      </w:pPr>
    </w:p>
    <w:p>
      <w:pPr>
        <w:pageBreakBefore w:val="0"/>
        <w:widowControl w:val="0"/>
        <w:kinsoku/>
        <w:wordWrap/>
        <w:overflowPunct/>
        <w:topLinePunct w:val="0"/>
        <w:autoSpaceDE/>
        <w:autoSpaceDN/>
        <w:bidi w:val="0"/>
        <w:adjustRightInd/>
        <w:snapToGrid/>
        <w:spacing w:line="420" w:lineRule="exact"/>
        <w:textAlignment w:val="auto"/>
      </w:pPr>
    </w:p>
    <w:p>
      <w:pPr>
        <w:pStyle w:val="2"/>
        <w:pageBreakBefore w:val="0"/>
        <w:widowControl w:val="0"/>
        <w:kinsoku/>
        <w:wordWrap/>
        <w:overflowPunct/>
        <w:topLinePunct w:val="0"/>
        <w:autoSpaceDE/>
        <w:autoSpaceDN/>
        <w:bidi w:val="0"/>
        <w:adjustRightInd/>
        <w:snapToGrid/>
        <w:spacing w:line="42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lang w:val="en-US" w:eastAsia="zh-CN"/>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pPr>
              <w:spacing w:line="680" w:lineRule="exact"/>
              <w:ind w:right="160"/>
              <w:rPr>
                <w:sz w:val="32"/>
              </w:rPr>
            </w:pPr>
            <w:r>
              <w:rPr>
                <w:rFonts w:eastAsia="仿宋_GB2312"/>
                <w:sz w:val="28"/>
                <w:szCs w:val="28"/>
              </w:rPr>
              <w:t>抄  送：天津市滨海新区生态环境局</w:t>
            </w:r>
          </w:p>
        </w:tc>
      </w:tr>
    </w:tbl>
    <w:p>
      <w:pPr>
        <w:rPr>
          <w:rFonts w:ascii="仿宋_GB2312" w:eastAsia="仿宋_GB2312"/>
          <w:sz w:val="32"/>
          <w:szCs w:val="32"/>
        </w:rPr>
      </w:pPr>
      <w:r>
        <w:rPr>
          <w:rFonts w:eastAsia="仿宋_GB2312"/>
          <w:sz w:val="28"/>
          <w:szCs w:val="28"/>
        </w:rPr>
        <w:t xml:space="preserve">天津市滨海新区行政审批局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4</w:t>
      </w:r>
      <w:r>
        <w:rPr>
          <w:rFonts w:eastAsia="仿宋_GB2312"/>
          <w:sz w:val="28"/>
          <w:szCs w:val="28"/>
        </w:rPr>
        <w:t>年</w:t>
      </w:r>
      <w:r>
        <w:rPr>
          <w:rFonts w:hint="eastAsia" w:eastAsia="仿宋_GB2312"/>
          <w:color w:val="auto"/>
          <w:sz w:val="28"/>
          <w:szCs w:val="28"/>
          <w:highlight w:val="none"/>
          <w:lang w:val="en-US" w:eastAsia="zh-CN"/>
        </w:rPr>
        <w:t>9</w:t>
      </w:r>
      <w:r>
        <w:rPr>
          <w:rFonts w:eastAsia="仿宋_GB2312"/>
          <w:color w:val="auto"/>
          <w:sz w:val="28"/>
          <w:szCs w:val="28"/>
          <w:highlight w:val="none"/>
        </w:rPr>
        <w:t>月</w:t>
      </w:r>
      <w:r>
        <w:rPr>
          <w:rFonts w:hint="eastAsia" w:eastAsia="仿宋_GB2312"/>
          <w:color w:val="auto"/>
          <w:sz w:val="28"/>
          <w:szCs w:val="28"/>
          <w:highlight w:val="none"/>
          <w:lang w:val="en-US" w:eastAsia="zh-CN"/>
        </w:rPr>
        <w:t>13</w:t>
      </w:r>
      <w:r>
        <w:rPr>
          <w:rFonts w:eastAsia="仿宋_GB2312"/>
          <w:color w:val="auto"/>
          <w:sz w:val="28"/>
          <w:szCs w:val="28"/>
          <w:highlight w:val="none"/>
        </w:rPr>
        <w:t>日</w:t>
      </w:r>
      <w:r>
        <w:rPr>
          <w:rFonts w:eastAsia="仿宋_GB2312"/>
          <w:sz w:val="28"/>
          <w:szCs w:val="28"/>
        </w:rPr>
        <w:t>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79075EF"/>
    <w:rsid w:val="07CF6683"/>
    <w:rsid w:val="086B0F97"/>
    <w:rsid w:val="08CC7EF8"/>
    <w:rsid w:val="097A5B2C"/>
    <w:rsid w:val="0A616717"/>
    <w:rsid w:val="0A6539EB"/>
    <w:rsid w:val="0A7B58F8"/>
    <w:rsid w:val="0A993ECD"/>
    <w:rsid w:val="0AFD432E"/>
    <w:rsid w:val="0B0D5A13"/>
    <w:rsid w:val="0B6D14B7"/>
    <w:rsid w:val="0B751764"/>
    <w:rsid w:val="0BA22F78"/>
    <w:rsid w:val="0CD111DE"/>
    <w:rsid w:val="0D777966"/>
    <w:rsid w:val="0DA17C0A"/>
    <w:rsid w:val="0E491814"/>
    <w:rsid w:val="0EF01F61"/>
    <w:rsid w:val="0F15100D"/>
    <w:rsid w:val="0FA859B9"/>
    <w:rsid w:val="0FAE081D"/>
    <w:rsid w:val="0FBF42EC"/>
    <w:rsid w:val="10F5402D"/>
    <w:rsid w:val="11D4312C"/>
    <w:rsid w:val="11D91F41"/>
    <w:rsid w:val="126758C9"/>
    <w:rsid w:val="138327ED"/>
    <w:rsid w:val="14367871"/>
    <w:rsid w:val="14F41FFC"/>
    <w:rsid w:val="1518002A"/>
    <w:rsid w:val="15794D99"/>
    <w:rsid w:val="16420B4B"/>
    <w:rsid w:val="16FABF4E"/>
    <w:rsid w:val="17977B39"/>
    <w:rsid w:val="17B46048"/>
    <w:rsid w:val="180E7B33"/>
    <w:rsid w:val="184D3DB0"/>
    <w:rsid w:val="19827E91"/>
    <w:rsid w:val="19B95B36"/>
    <w:rsid w:val="19C23FA1"/>
    <w:rsid w:val="1BD1643B"/>
    <w:rsid w:val="1BED3202"/>
    <w:rsid w:val="1D992813"/>
    <w:rsid w:val="1DE99A3F"/>
    <w:rsid w:val="1E742A13"/>
    <w:rsid w:val="1E775E2D"/>
    <w:rsid w:val="1E8563FC"/>
    <w:rsid w:val="1E860E96"/>
    <w:rsid w:val="1F3259C6"/>
    <w:rsid w:val="1FFAE524"/>
    <w:rsid w:val="206E52DB"/>
    <w:rsid w:val="20E44790"/>
    <w:rsid w:val="217E0DA2"/>
    <w:rsid w:val="21D74401"/>
    <w:rsid w:val="220D79D5"/>
    <w:rsid w:val="228D1920"/>
    <w:rsid w:val="235F1C43"/>
    <w:rsid w:val="23CA3946"/>
    <w:rsid w:val="23E6F790"/>
    <w:rsid w:val="246E51C2"/>
    <w:rsid w:val="24CD3273"/>
    <w:rsid w:val="251F2C93"/>
    <w:rsid w:val="25930AA1"/>
    <w:rsid w:val="25B77F28"/>
    <w:rsid w:val="261C2711"/>
    <w:rsid w:val="26333F5B"/>
    <w:rsid w:val="264C63DC"/>
    <w:rsid w:val="2730219E"/>
    <w:rsid w:val="27927955"/>
    <w:rsid w:val="27DF6D5B"/>
    <w:rsid w:val="27ED719E"/>
    <w:rsid w:val="28A50490"/>
    <w:rsid w:val="290416FB"/>
    <w:rsid w:val="2A8E570B"/>
    <w:rsid w:val="2B2C5C09"/>
    <w:rsid w:val="2B5A4C61"/>
    <w:rsid w:val="2B892A8E"/>
    <w:rsid w:val="2BE975ED"/>
    <w:rsid w:val="2C22481C"/>
    <w:rsid w:val="2DA85F50"/>
    <w:rsid w:val="2DE85F13"/>
    <w:rsid w:val="2E727497"/>
    <w:rsid w:val="2FC339E9"/>
    <w:rsid w:val="31140AC3"/>
    <w:rsid w:val="31C439B0"/>
    <w:rsid w:val="31D3618D"/>
    <w:rsid w:val="31E47D3B"/>
    <w:rsid w:val="330A7AD7"/>
    <w:rsid w:val="33119F1F"/>
    <w:rsid w:val="33517ECA"/>
    <w:rsid w:val="33937C59"/>
    <w:rsid w:val="33CC3E98"/>
    <w:rsid w:val="34D7709C"/>
    <w:rsid w:val="34DD613F"/>
    <w:rsid w:val="3536679E"/>
    <w:rsid w:val="3678062E"/>
    <w:rsid w:val="37232DB8"/>
    <w:rsid w:val="37FD68A6"/>
    <w:rsid w:val="393B4C3B"/>
    <w:rsid w:val="3982447C"/>
    <w:rsid w:val="39851AEA"/>
    <w:rsid w:val="399A2EB5"/>
    <w:rsid w:val="3B5E06FE"/>
    <w:rsid w:val="3BFDC5E4"/>
    <w:rsid w:val="3C0B33E8"/>
    <w:rsid w:val="3C491AF5"/>
    <w:rsid w:val="3CB16EAA"/>
    <w:rsid w:val="3CDEA38A"/>
    <w:rsid w:val="3D1B42E3"/>
    <w:rsid w:val="3D8D3BBB"/>
    <w:rsid w:val="3E053D44"/>
    <w:rsid w:val="3E6B05F3"/>
    <w:rsid w:val="3FAA75AE"/>
    <w:rsid w:val="419A35AC"/>
    <w:rsid w:val="41BA15F9"/>
    <w:rsid w:val="420A2FF8"/>
    <w:rsid w:val="42195A6A"/>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E83298"/>
    <w:rsid w:val="4B106CD2"/>
    <w:rsid w:val="4C895B69"/>
    <w:rsid w:val="4D7A256B"/>
    <w:rsid w:val="4DFC4C35"/>
    <w:rsid w:val="4EA51583"/>
    <w:rsid w:val="4F016F2E"/>
    <w:rsid w:val="4F9E2FE4"/>
    <w:rsid w:val="4FBFBB5D"/>
    <w:rsid w:val="502925FF"/>
    <w:rsid w:val="50C54397"/>
    <w:rsid w:val="50D413E4"/>
    <w:rsid w:val="517F3AB5"/>
    <w:rsid w:val="51872AF4"/>
    <w:rsid w:val="51A96376"/>
    <w:rsid w:val="51F37B94"/>
    <w:rsid w:val="51FF48CF"/>
    <w:rsid w:val="5261193E"/>
    <w:rsid w:val="52B31C66"/>
    <w:rsid w:val="53333171"/>
    <w:rsid w:val="53334AA9"/>
    <w:rsid w:val="537F0991"/>
    <w:rsid w:val="541A70D3"/>
    <w:rsid w:val="55072BCC"/>
    <w:rsid w:val="550E0450"/>
    <w:rsid w:val="56266096"/>
    <w:rsid w:val="562D4626"/>
    <w:rsid w:val="56F00E14"/>
    <w:rsid w:val="5733590C"/>
    <w:rsid w:val="5750757E"/>
    <w:rsid w:val="581A10A7"/>
    <w:rsid w:val="59465D4C"/>
    <w:rsid w:val="59A10B54"/>
    <w:rsid w:val="5A7ACC5F"/>
    <w:rsid w:val="5A9211A0"/>
    <w:rsid w:val="5B4F1F6C"/>
    <w:rsid w:val="5BF87ACE"/>
    <w:rsid w:val="5CE11D93"/>
    <w:rsid w:val="5D1A2FE5"/>
    <w:rsid w:val="5DB84FA9"/>
    <w:rsid w:val="5E0A1E6D"/>
    <w:rsid w:val="5E2A6CFE"/>
    <w:rsid w:val="5EE5A1E3"/>
    <w:rsid w:val="5F9A6485"/>
    <w:rsid w:val="5FFF4964"/>
    <w:rsid w:val="5FFFAB31"/>
    <w:rsid w:val="60180D6C"/>
    <w:rsid w:val="619F7DE0"/>
    <w:rsid w:val="61F11BB7"/>
    <w:rsid w:val="628A6975"/>
    <w:rsid w:val="62DFDF5A"/>
    <w:rsid w:val="62F9157D"/>
    <w:rsid w:val="63A519FA"/>
    <w:rsid w:val="63C42AC6"/>
    <w:rsid w:val="640654C8"/>
    <w:rsid w:val="652EDB3A"/>
    <w:rsid w:val="65CB35F1"/>
    <w:rsid w:val="67836871"/>
    <w:rsid w:val="686A0B4A"/>
    <w:rsid w:val="6875104A"/>
    <w:rsid w:val="68CD0632"/>
    <w:rsid w:val="697E0BFB"/>
    <w:rsid w:val="69B503D3"/>
    <w:rsid w:val="6A68020F"/>
    <w:rsid w:val="6AEF4930"/>
    <w:rsid w:val="6B622B93"/>
    <w:rsid w:val="6CBE07C5"/>
    <w:rsid w:val="6CE124F8"/>
    <w:rsid w:val="6F2605FE"/>
    <w:rsid w:val="6F2C4A70"/>
    <w:rsid w:val="6F4020DE"/>
    <w:rsid w:val="6FF3011B"/>
    <w:rsid w:val="706E47D2"/>
    <w:rsid w:val="71B60E95"/>
    <w:rsid w:val="71C17DE5"/>
    <w:rsid w:val="71F065BA"/>
    <w:rsid w:val="729829D6"/>
    <w:rsid w:val="73067FA2"/>
    <w:rsid w:val="734D635D"/>
    <w:rsid w:val="735D2B55"/>
    <w:rsid w:val="735D6A13"/>
    <w:rsid w:val="73935D89"/>
    <w:rsid w:val="73C20023"/>
    <w:rsid w:val="73C90575"/>
    <w:rsid w:val="74235FBB"/>
    <w:rsid w:val="7458541A"/>
    <w:rsid w:val="7479752E"/>
    <w:rsid w:val="75C173E7"/>
    <w:rsid w:val="75CB2826"/>
    <w:rsid w:val="75F63195"/>
    <w:rsid w:val="76A77C9C"/>
    <w:rsid w:val="76D4578A"/>
    <w:rsid w:val="770574A0"/>
    <w:rsid w:val="77ACA5CC"/>
    <w:rsid w:val="78241FCC"/>
    <w:rsid w:val="787E122A"/>
    <w:rsid w:val="78B56081"/>
    <w:rsid w:val="7A134250"/>
    <w:rsid w:val="7A4D29BF"/>
    <w:rsid w:val="7BD51F33"/>
    <w:rsid w:val="7C4F638F"/>
    <w:rsid w:val="7D123060"/>
    <w:rsid w:val="7DFA9B5B"/>
    <w:rsid w:val="7E6C59D9"/>
    <w:rsid w:val="7E9E2829"/>
    <w:rsid w:val="7FD231E4"/>
    <w:rsid w:val="7FEB4B62"/>
    <w:rsid w:val="8ADA1523"/>
    <w:rsid w:val="97FF6120"/>
    <w:rsid w:val="9FA3A381"/>
    <w:rsid w:val="B8EDB323"/>
    <w:rsid w:val="BF667943"/>
    <w:rsid w:val="D1E7F45D"/>
    <w:rsid w:val="D79F84D6"/>
    <w:rsid w:val="DE3EE7A5"/>
    <w:rsid w:val="FD7FD7DF"/>
    <w:rsid w:val="FDFE8796"/>
    <w:rsid w:val="FE6FDE2D"/>
    <w:rsid w:val="FE7EF088"/>
    <w:rsid w:val="FEA3AF69"/>
    <w:rsid w:val="FEB9A203"/>
    <w:rsid w:val="FEFDD7FE"/>
    <w:rsid w:val="FEFE1018"/>
    <w:rsid w:val="FFFA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character" w:styleId="10">
    <w:name w:val="Emphasis"/>
    <w:basedOn w:val="8"/>
    <w:qFormat/>
    <w:uiPriority w:val="0"/>
    <w:rPr>
      <w:i/>
    </w:rPr>
  </w:style>
  <w:style w:type="character" w:customStyle="1" w:styleId="11">
    <w:name w:val="页脚 Char"/>
    <w:basedOn w:val="8"/>
    <w:link w:val="4"/>
    <w:qFormat/>
    <w:uiPriority w:val="0"/>
    <w:rPr>
      <w:kern w:val="2"/>
      <w:sz w:val="18"/>
      <w:szCs w:val="18"/>
    </w:rPr>
  </w:style>
  <w:style w:type="character" w:customStyle="1" w:styleId="12">
    <w:name w:val="页眉 Char"/>
    <w:basedOn w:val="8"/>
    <w:link w:val="5"/>
    <w:qFormat/>
    <w:uiPriority w:val="0"/>
    <w:rPr>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1579</Words>
  <Characters>1687</Characters>
  <Lines>12</Lines>
  <Paragraphs>3</Paragraphs>
  <TotalTime>14</TotalTime>
  <ScaleCrop>false</ScaleCrop>
  <LinksUpToDate>false</LinksUpToDate>
  <CharactersWithSpaces>1757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2014-05-27T01:22:00Z</dcterms:created>
  <dc:creator>张明蕾</dc:creator>
  <cp:lastModifiedBy>许微</cp:lastModifiedBy>
  <cp:lastPrinted>2024-09-13T09:12:00Z</cp:lastPrinted>
  <dcterms:modified xsi:type="dcterms:W3CDTF">2024-09-14T15:40:37Z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FB9F29731C5C45BCB343A6D436A21D42_13</vt:lpwstr>
  </property>
</Properties>
</file>