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hint="eastAsia" w:ascii="仿宋_GB2312" w:eastAsia="仿宋_GB2312"/>
          <w:sz w:val="32"/>
          <w:szCs w:val="32"/>
          <w:highlight w:val="yellow"/>
          <w:lang w:val="en-US" w:eastAsia="zh-CN"/>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225</w:t>
      </w:r>
      <w:r>
        <w:rPr>
          <w:rFonts w:hint="default" w:ascii="Times New Roman" w:hAnsi="Times New Roman" w:eastAsia="仿宋_GB2312" w:cs="Times New Roman"/>
          <w:sz w:val="32"/>
          <w:szCs w:val="32"/>
        </w:rPr>
        <w:t>号</w:t>
      </w:r>
      <w:bookmarkStart w:id="0" w:name="_GoBack"/>
      <w:bookmarkEnd w:id="0"/>
    </w:p>
    <w:p>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（项目代码：2</w:t>
      </w:r>
      <w:r>
        <w:rPr>
          <w:rFonts w:hint="eastAsia" w:eastAsia="仿宋_GB2312" w:cs="Times New Roman"/>
          <w:kern w:val="2"/>
          <w:sz w:val="32"/>
          <w:szCs w:val="32"/>
          <w:lang w:val="en-US" w:eastAsia="zh-CN" w:bidi="ar-SA"/>
        </w:rPr>
        <w:t>402</w:t>
      </w:r>
      <w:r>
        <w:rPr>
          <w:rFonts w:hint="eastAsia" w:ascii="Times New Roman" w:hAnsi="Times New Roman" w:eastAsia="仿宋_GB2312" w:cs="Times New Roman"/>
          <w:kern w:val="2"/>
          <w:sz w:val="32"/>
          <w:szCs w:val="32"/>
          <w:lang w:val="en-US" w:eastAsia="zh-CN" w:bidi="ar-SA"/>
        </w:rPr>
        <w:t>-120116-89-01-</w:t>
      </w:r>
      <w:r>
        <w:rPr>
          <w:rFonts w:hint="eastAsia" w:eastAsia="仿宋_GB2312" w:cs="Times New Roman"/>
          <w:kern w:val="2"/>
          <w:sz w:val="32"/>
          <w:szCs w:val="32"/>
          <w:lang w:val="en-US" w:eastAsia="zh-CN" w:bidi="ar-SA"/>
        </w:rPr>
        <w:t>785406</w:t>
      </w:r>
      <w:r>
        <w:rPr>
          <w:rFonts w:hint="eastAsia" w:ascii="Times New Roman" w:hAnsi="Times New Roman" w:eastAsia="仿宋_GB2312" w:cs="Times New Roman"/>
          <w:kern w:val="2"/>
          <w:sz w:val="32"/>
          <w:szCs w:val="32"/>
          <w:lang w:val="en-US" w:eastAsia="zh-CN" w:bidi="ar-SA"/>
        </w:rPr>
        <w:t>）</w:t>
      </w:r>
    </w:p>
    <w:p>
      <w:pPr>
        <w:pStyle w:val="11"/>
        <w:spacing w:line="580" w:lineRule="exact"/>
        <w:jc w:val="center"/>
        <w:rPr>
          <w:rFonts w:hint="eastAsia"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关于中石化增容220千伏用户站接入工程</w:t>
      </w: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国网天津市电力公司滨海供电分公司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你公司呈报的《中石化增容220千伏用户站接入工程</w:t>
      </w:r>
      <w:r>
        <w:rPr>
          <w:rFonts w:hint="eastAsia" w:ascii="Times New Roman" w:hAnsi="Times New Roman" w:eastAsia="仿宋_GB2312" w:cs="Times New Roman"/>
          <w:sz w:val="32"/>
          <w:szCs w:val="32"/>
          <w:lang w:eastAsia="zh-CN"/>
        </w:rPr>
        <w:t>环境影响报告表的请示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联合泰泽环境科技发展有限公司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《中石化增容220千伏用户站接入工程环境影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w:t>
      </w:r>
      <w:r>
        <w:rPr>
          <w:rFonts w:hint="eastAsia" w:eastAsia="仿宋_GB2312" w:cs="Times New Roman"/>
          <w:sz w:val="32"/>
          <w:szCs w:val="32"/>
          <w:lang w:eastAsia="zh-CN"/>
        </w:rPr>
        <w:t>投资</w:t>
      </w:r>
      <w:r>
        <w:rPr>
          <w:rFonts w:hint="eastAsia" w:eastAsia="仿宋_GB2312" w:cs="Times New Roman"/>
          <w:sz w:val="32"/>
          <w:szCs w:val="32"/>
          <w:lang w:val="en-US" w:eastAsia="zh-CN"/>
        </w:rPr>
        <w:t>48809万元</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滨海新区南片区大港区域</w:t>
      </w:r>
      <w:r>
        <w:rPr>
          <w:rFonts w:hint="eastAsia" w:eastAsia="仿宋_GB2312"/>
          <w:bCs/>
          <w:sz w:val="32"/>
          <w:szCs w:val="32"/>
        </w:rPr>
        <w:t>建设</w:t>
      </w:r>
      <w:r>
        <w:rPr>
          <w:rFonts w:hint="default" w:eastAsia="仿宋_GB2312" w:cs="Times New Roman"/>
          <w:sz w:val="32"/>
          <w:szCs w:val="32"/>
          <w:lang w:val="en-US" w:eastAsia="zh-CN"/>
        </w:rPr>
        <w:t>中石化增容220千伏用户站接入工程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工程自</w:t>
      </w:r>
      <w:r>
        <w:rPr>
          <w:rFonts w:hint="eastAsia" w:eastAsia="仿宋_GB2312" w:cs="Times New Roman"/>
          <w:sz w:val="32"/>
          <w:szCs w:val="32"/>
          <w:lang w:eastAsia="zh-CN"/>
        </w:rPr>
        <w:t>学府路</w:t>
      </w:r>
      <w:r>
        <w:rPr>
          <w:rFonts w:hint="eastAsia" w:eastAsia="仿宋_GB2312" w:cs="Times New Roman"/>
          <w:sz w:val="32"/>
          <w:szCs w:val="32"/>
          <w:lang w:val="en-US" w:eastAsia="zh-CN"/>
        </w:rPr>
        <w:t>220kV变电站新出3回220kV电源线，其中2回电源线接至拟建中石化增容220kV用户站，另1回经原220kV上石线B6塔为现状天津石化220kV站供电；将现状220kV上石线4#-9#塔基及现状单回1.6km线路拆除，改为双回线路（1回为现状220kV上石线重新挂线，另1回为本次新建）；现状220kV上石线自现状B1塔改接，切换供电，由供给现状天津石化220kV站改为供给拟建中石化增容220kV用户站。新建3回220kV输电线路路径总长为14.95km，其中架空路径7.9km（全部为新建），电缆路径7.05km，途经汉港路、世纪大道、凯旋街、南环路。以上变电站均</w:t>
      </w:r>
      <w:r>
        <w:rPr>
          <w:rFonts w:hint="eastAsia" w:eastAsia="仿宋_GB2312" w:cs="Times New Roman"/>
          <w:sz w:val="32"/>
          <w:szCs w:val="32"/>
          <w:lang w:eastAsia="zh-CN"/>
        </w:rPr>
        <w:t>不在本次评价范围内</w:t>
      </w:r>
      <w:r>
        <w:rPr>
          <w:rFonts w:hint="eastAsia" w:eastAsia="仿宋_GB2312" w:cs="Times New Roman"/>
          <w:sz w:val="32"/>
          <w:szCs w:val="32"/>
          <w:lang w:val="en-US" w:eastAsia="zh-CN"/>
        </w:rPr>
        <w:t>，单独履行相关环保手续。</w:t>
      </w:r>
      <w:r>
        <w:rPr>
          <w:rFonts w:hint="eastAsia" w:eastAsia="仿宋_GB2312"/>
          <w:bCs/>
          <w:sz w:val="32"/>
          <w:szCs w:val="32"/>
          <w:lang w:eastAsia="zh-CN"/>
        </w:rPr>
        <w:t>工程</w:t>
      </w:r>
      <w:r>
        <w:rPr>
          <w:rFonts w:hint="default" w:eastAsia="仿宋_GB2312"/>
          <w:bCs/>
          <w:sz w:val="32"/>
          <w:szCs w:val="32"/>
        </w:rPr>
        <w:t>环保投资</w:t>
      </w:r>
      <w:r>
        <w:rPr>
          <w:rFonts w:hint="eastAsia" w:eastAsia="仿宋_GB2312"/>
          <w:bCs/>
          <w:sz w:val="32"/>
          <w:szCs w:val="32"/>
          <w:lang w:val="en-US" w:eastAsia="zh-CN"/>
        </w:rPr>
        <w:t>160</w:t>
      </w:r>
      <w:r>
        <w:rPr>
          <w:rFonts w:hint="default" w:eastAsia="仿宋_GB2312"/>
          <w:bCs/>
          <w:sz w:val="32"/>
          <w:szCs w:val="32"/>
        </w:rPr>
        <w:t>万元，约占总投资的</w:t>
      </w:r>
      <w:r>
        <w:rPr>
          <w:rFonts w:hint="eastAsia" w:eastAsia="仿宋_GB2312" w:cs="Times New Roman"/>
          <w:sz w:val="32"/>
          <w:szCs w:val="32"/>
          <w:lang w:val="en-US" w:eastAsia="zh-CN"/>
        </w:rPr>
        <w:t>0.33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bCs/>
          <w:sz w:val="32"/>
          <w:szCs w:val="32"/>
          <w:lang w:val="en-US" w:eastAsia="zh-CN"/>
        </w:rPr>
        <w:t>8</w:t>
      </w:r>
      <w:r>
        <w:rPr>
          <w:rFonts w:hint="default" w:eastAsia="仿宋_GB2312"/>
          <w:bCs/>
          <w:sz w:val="32"/>
          <w:szCs w:val="32"/>
        </w:rPr>
        <w:t>月</w:t>
      </w:r>
      <w:r>
        <w:rPr>
          <w:rFonts w:hint="eastAsia" w:eastAsia="仿宋_GB2312"/>
          <w:bCs/>
          <w:sz w:val="32"/>
          <w:szCs w:val="32"/>
          <w:lang w:val="en-US" w:eastAsia="zh-CN"/>
        </w:rPr>
        <w:t>8</w:t>
      </w:r>
      <w:r>
        <w:rPr>
          <w:rFonts w:hint="default" w:eastAsia="仿宋_GB2312"/>
          <w:bCs/>
          <w:sz w:val="32"/>
          <w:szCs w:val="32"/>
        </w:rPr>
        <w:t>日至</w:t>
      </w:r>
      <w:r>
        <w:rPr>
          <w:rFonts w:hint="eastAsia" w:eastAsia="仿宋_GB2312"/>
          <w:bCs/>
          <w:sz w:val="32"/>
          <w:szCs w:val="32"/>
          <w:lang w:val="en-US" w:eastAsia="zh-CN"/>
        </w:rPr>
        <w:t>8</w:t>
      </w:r>
      <w:r>
        <w:rPr>
          <w:rFonts w:hint="default" w:eastAsia="仿宋_GB2312"/>
          <w:bCs/>
          <w:sz w:val="32"/>
          <w:szCs w:val="32"/>
        </w:rPr>
        <w:t>月</w:t>
      </w:r>
      <w:r>
        <w:rPr>
          <w:rFonts w:hint="eastAsia" w:eastAsia="仿宋_GB2312"/>
          <w:bCs/>
          <w:sz w:val="32"/>
          <w:szCs w:val="32"/>
          <w:lang w:val="en-US" w:eastAsia="zh-CN"/>
        </w:rPr>
        <w:t>14</w:t>
      </w:r>
      <w:r>
        <w:rPr>
          <w:rFonts w:hint="default" w:eastAsia="仿宋_GB2312"/>
          <w:bCs/>
          <w:sz w:val="32"/>
          <w:szCs w:val="32"/>
        </w:rPr>
        <w:t>日</w:t>
      </w:r>
      <w:r>
        <w:rPr>
          <w:rFonts w:hint="default" w:ascii="Times New Roman" w:hAnsi="Times New Roman" w:eastAsia="仿宋_GB2312" w:cs="Times New Roman"/>
          <w:sz w:val="32"/>
          <w:szCs w:val="32"/>
        </w:rPr>
        <w:t>，我局将该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p>
    <w:p>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eastAsia="zh-CN"/>
        </w:rPr>
        <w:t>；对于临时用地，按要求履行相应程序；严格控制用地边界，并及时做好生态恢复</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3类</w:t>
      </w:r>
      <w:r>
        <w:rPr>
          <w:rFonts w:hint="eastAsia" w:eastAsia="仿宋_GB2312" w:cs="Times New Roman"/>
          <w:sz w:val="32"/>
          <w:szCs w:val="32"/>
          <w:lang w:eastAsia="zh-CN"/>
        </w:rPr>
        <w:t>；</w:t>
      </w:r>
    </w:p>
    <w:p>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rPr>
      </w:pPr>
    </w:p>
    <w:p>
      <w:pPr>
        <w:wordWrap w:val="0"/>
        <w:ind w:firstLine="5120" w:firstLineChars="1600"/>
        <w:jc w:val="both"/>
        <w:rPr>
          <w:rFonts w:hint="eastAsia" w:eastAsia="仿宋_GB2312"/>
          <w:sz w:val="32"/>
          <w:lang w:val="en-US" w:eastAsia="zh-CN"/>
        </w:rPr>
      </w:pPr>
    </w:p>
    <w:p>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2024年8月27日   </w:t>
      </w:r>
    </w:p>
    <w:p>
      <w:pPr>
        <w:pStyle w:val="2"/>
        <w:wordWrap/>
        <w:rPr>
          <w:rFonts w:hint="eastAsia"/>
          <w:sz w:val="15"/>
          <w:szCs w:val="15"/>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8"/>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8</w:t>
      </w:r>
      <w:r>
        <w:rPr>
          <w:rFonts w:eastAsia="仿宋_GB2312"/>
          <w:sz w:val="28"/>
          <w:szCs w:val="28"/>
        </w:rPr>
        <w:t>月</w:t>
      </w:r>
      <w:r>
        <w:rPr>
          <w:rFonts w:hint="eastAsia" w:eastAsia="仿宋_GB2312"/>
          <w:sz w:val="28"/>
          <w:szCs w:val="28"/>
          <w:lang w:val="en-US" w:eastAsia="zh-CN"/>
        </w:rPr>
        <w:t>27</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67033A"/>
    <w:rsid w:val="040E2881"/>
    <w:rsid w:val="069C4B83"/>
    <w:rsid w:val="07CF6683"/>
    <w:rsid w:val="08FF1D4E"/>
    <w:rsid w:val="09C20CD4"/>
    <w:rsid w:val="0A7C212E"/>
    <w:rsid w:val="0B6D14B7"/>
    <w:rsid w:val="0CE942B7"/>
    <w:rsid w:val="0D4545B5"/>
    <w:rsid w:val="0D5F3A7D"/>
    <w:rsid w:val="0DA11C36"/>
    <w:rsid w:val="0ED8055F"/>
    <w:rsid w:val="161C585F"/>
    <w:rsid w:val="171A2A55"/>
    <w:rsid w:val="1728522A"/>
    <w:rsid w:val="18326D5D"/>
    <w:rsid w:val="18EA53FF"/>
    <w:rsid w:val="19215035"/>
    <w:rsid w:val="195535DF"/>
    <w:rsid w:val="19CB339C"/>
    <w:rsid w:val="1E9437AE"/>
    <w:rsid w:val="1EA6195C"/>
    <w:rsid w:val="20836690"/>
    <w:rsid w:val="2156336B"/>
    <w:rsid w:val="21676203"/>
    <w:rsid w:val="22610E50"/>
    <w:rsid w:val="22A21F73"/>
    <w:rsid w:val="233667EF"/>
    <w:rsid w:val="265E70F3"/>
    <w:rsid w:val="26FA244B"/>
    <w:rsid w:val="27E736B9"/>
    <w:rsid w:val="280265C2"/>
    <w:rsid w:val="284C55E1"/>
    <w:rsid w:val="28CC03F4"/>
    <w:rsid w:val="2D5A2BCE"/>
    <w:rsid w:val="2DD36D2F"/>
    <w:rsid w:val="2F44136D"/>
    <w:rsid w:val="30080A03"/>
    <w:rsid w:val="30262E18"/>
    <w:rsid w:val="316A2E22"/>
    <w:rsid w:val="32622092"/>
    <w:rsid w:val="33633703"/>
    <w:rsid w:val="34642DD7"/>
    <w:rsid w:val="35533D0B"/>
    <w:rsid w:val="357D7D64"/>
    <w:rsid w:val="36C51F7A"/>
    <w:rsid w:val="375F19FD"/>
    <w:rsid w:val="37BF32B3"/>
    <w:rsid w:val="37EB048C"/>
    <w:rsid w:val="385C19AE"/>
    <w:rsid w:val="3982447C"/>
    <w:rsid w:val="399D5FE8"/>
    <w:rsid w:val="3B020806"/>
    <w:rsid w:val="3B042AEE"/>
    <w:rsid w:val="3B0D5BF6"/>
    <w:rsid w:val="3D2E17ED"/>
    <w:rsid w:val="3D826F21"/>
    <w:rsid w:val="3E015AA4"/>
    <w:rsid w:val="3ED5EC67"/>
    <w:rsid w:val="3EFF249B"/>
    <w:rsid w:val="3F9A2934"/>
    <w:rsid w:val="3FD14EC6"/>
    <w:rsid w:val="41116DDD"/>
    <w:rsid w:val="42382433"/>
    <w:rsid w:val="445A69E2"/>
    <w:rsid w:val="44A333BF"/>
    <w:rsid w:val="44FB2731"/>
    <w:rsid w:val="45D27CD9"/>
    <w:rsid w:val="46534CE5"/>
    <w:rsid w:val="46BF2397"/>
    <w:rsid w:val="47693F8F"/>
    <w:rsid w:val="47BF2CB4"/>
    <w:rsid w:val="4AAE0F6B"/>
    <w:rsid w:val="4AE43C50"/>
    <w:rsid w:val="4B106CD2"/>
    <w:rsid w:val="4D005CA5"/>
    <w:rsid w:val="4DC73F47"/>
    <w:rsid w:val="4DFFF697"/>
    <w:rsid w:val="4EC837AE"/>
    <w:rsid w:val="4EE05777"/>
    <w:rsid w:val="509839E6"/>
    <w:rsid w:val="52B20CF2"/>
    <w:rsid w:val="53ED7747"/>
    <w:rsid w:val="545B574B"/>
    <w:rsid w:val="55C20EA5"/>
    <w:rsid w:val="561F2D1C"/>
    <w:rsid w:val="59465D4C"/>
    <w:rsid w:val="59EC4DD6"/>
    <w:rsid w:val="5A9076E1"/>
    <w:rsid w:val="5ABC54F2"/>
    <w:rsid w:val="5AC3177F"/>
    <w:rsid w:val="5BB3002B"/>
    <w:rsid w:val="5CF47B52"/>
    <w:rsid w:val="5D0F3DCC"/>
    <w:rsid w:val="5E604728"/>
    <w:rsid w:val="5F0E3CB8"/>
    <w:rsid w:val="61C254B7"/>
    <w:rsid w:val="61FA1823"/>
    <w:rsid w:val="628A6975"/>
    <w:rsid w:val="62922D24"/>
    <w:rsid w:val="65EF76D2"/>
    <w:rsid w:val="67346D35"/>
    <w:rsid w:val="69E93BFD"/>
    <w:rsid w:val="6A1D01E4"/>
    <w:rsid w:val="6B720AE3"/>
    <w:rsid w:val="6E0A324A"/>
    <w:rsid w:val="6F11351D"/>
    <w:rsid w:val="6F765C07"/>
    <w:rsid w:val="718F062F"/>
    <w:rsid w:val="71E03B95"/>
    <w:rsid w:val="744A736E"/>
    <w:rsid w:val="75C36ABA"/>
    <w:rsid w:val="75DF7E6B"/>
    <w:rsid w:val="7605103D"/>
    <w:rsid w:val="76A50366"/>
    <w:rsid w:val="76AF4C49"/>
    <w:rsid w:val="773C481C"/>
    <w:rsid w:val="7911327A"/>
    <w:rsid w:val="79D7682F"/>
    <w:rsid w:val="7C167044"/>
    <w:rsid w:val="7CC077EE"/>
    <w:rsid w:val="7D247CD4"/>
    <w:rsid w:val="7E6678D4"/>
    <w:rsid w:val="7F4C3D83"/>
    <w:rsid w:val="7F7CF0BB"/>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Emphasis"/>
    <w:basedOn w:val="5"/>
    <w:qFormat/>
    <w:uiPriority w:val="0"/>
    <w:rPr>
      <w:i/>
    </w:rPr>
  </w:style>
  <w:style w:type="character" w:customStyle="1" w:styleId="9">
    <w:name w:val="页脚 Char"/>
    <w:basedOn w:val="5"/>
    <w:link w:val="3"/>
    <w:qFormat/>
    <w:uiPriority w:val="0"/>
    <w:rPr>
      <w:kern w:val="2"/>
      <w:sz w:val="18"/>
      <w:szCs w:val="18"/>
    </w:rPr>
  </w:style>
  <w:style w:type="character" w:customStyle="1" w:styleId="10">
    <w:name w:val="页眉 Char"/>
    <w:basedOn w:val="5"/>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2</TotalTime>
  <ScaleCrop>false</ScaleCrop>
  <LinksUpToDate>false</LinksUpToDate>
  <CharactersWithSpaces>1195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Administrator</cp:lastModifiedBy>
  <cp:lastPrinted>2024-04-22T02:28:00Z</cp:lastPrinted>
  <dcterms:modified xsi:type="dcterms:W3CDTF">2024-08-30T01:50:09Z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2091573628CE490599600E2BDD7D424C_13</vt:lpwstr>
  </property>
</Properties>
</file>