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916B">
      <w:pPr>
        <w:rPr>
          <w:rFonts w:ascii="仿宋_GB2312" w:eastAsia="仿宋_GB2312"/>
          <w:sz w:val="32"/>
          <w:szCs w:val="32"/>
        </w:rPr>
      </w:pPr>
    </w:p>
    <w:p w14:paraId="5E852A58">
      <w:pPr>
        <w:rPr>
          <w:rFonts w:ascii="仿宋_GB2312" w:eastAsia="仿宋_GB2312"/>
          <w:sz w:val="32"/>
          <w:szCs w:val="32"/>
        </w:rPr>
      </w:pPr>
    </w:p>
    <w:p w14:paraId="613E3963">
      <w:pPr>
        <w:rPr>
          <w:rFonts w:ascii="仿宋_GB2312" w:eastAsia="仿宋_GB2312"/>
          <w:sz w:val="32"/>
          <w:szCs w:val="32"/>
        </w:rPr>
      </w:pPr>
    </w:p>
    <w:p w14:paraId="2113EB4A">
      <w:pPr>
        <w:spacing w:line="360" w:lineRule="auto"/>
        <w:jc w:val="center"/>
        <w:rPr>
          <w:rFonts w:ascii="仿宋_GB2312" w:eastAsia="仿宋_GB2312"/>
          <w:sz w:val="32"/>
          <w:szCs w:val="32"/>
        </w:rPr>
      </w:pPr>
    </w:p>
    <w:p w14:paraId="2E567A41">
      <w:pPr>
        <w:jc w:val="center"/>
        <w:rPr>
          <w:rFonts w:hint="default" w:ascii="Times New Roman" w:hAnsi="Times New Roman" w:eastAsia="仿宋_GB2312" w:cs="Times New Roman"/>
          <w:sz w:val="32"/>
          <w:szCs w:val="32"/>
        </w:rPr>
      </w:pPr>
    </w:p>
    <w:p w14:paraId="148C11E0">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315</w:t>
      </w:r>
      <w:r>
        <w:rPr>
          <w:rFonts w:hint="default" w:ascii="Times New Roman" w:hAnsi="Times New Roman" w:eastAsia="仿宋_GB2312" w:cs="Times New Roman"/>
          <w:sz w:val="32"/>
          <w:szCs w:val="32"/>
        </w:rPr>
        <w:t>号</w:t>
      </w:r>
    </w:p>
    <w:p w14:paraId="019F210B">
      <w:pPr>
        <w:rPr>
          <w:rFonts w:ascii="仿宋_GB2312" w:eastAsia="仿宋_GB2312"/>
          <w:sz w:val="32"/>
          <w:szCs w:val="32"/>
        </w:rPr>
      </w:pPr>
      <w:bookmarkStart w:id="0" w:name="_GoBack"/>
      <w:bookmarkEnd w:id="0"/>
    </w:p>
    <w:p w14:paraId="083996F4">
      <w:pPr>
        <w:pStyle w:val="16"/>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411</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120116</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89</w:t>
      </w:r>
      <w:r>
        <w:rPr>
          <w:rFonts w:hint="eastAsia" w:ascii="Times New Roman" w:hAnsi="Times New Roman" w:eastAsia="仿宋_GB2312" w:cs="Times New Roman"/>
          <w:kern w:val="2"/>
          <w:sz w:val="32"/>
          <w:szCs w:val="32"/>
          <w:highlight w:val="none"/>
          <w:lang w:val="en-US" w:eastAsia="zh-CN" w:bidi="ar-SA"/>
        </w:rPr>
        <w:t>-0</w:t>
      </w:r>
      <w:r>
        <w:rPr>
          <w:rFonts w:hint="eastAsia"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500021</w:t>
      </w:r>
      <w:r>
        <w:rPr>
          <w:rFonts w:hint="eastAsia" w:ascii="Times New Roman" w:hAnsi="Times New Roman" w:eastAsia="仿宋_GB2312" w:cs="Times New Roman"/>
          <w:kern w:val="2"/>
          <w:sz w:val="32"/>
          <w:szCs w:val="32"/>
          <w:lang w:val="en-US" w:eastAsia="zh-CN" w:bidi="ar-SA"/>
        </w:rPr>
        <w:t>）</w:t>
      </w:r>
    </w:p>
    <w:p w14:paraId="037B9462">
      <w:pPr>
        <w:pStyle w:val="16"/>
        <w:spacing w:line="580" w:lineRule="exact"/>
        <w:jc w:val="center"/>
        <w:rPr>
          <w:rFonts w:hint="eastAsia" w:ascii="Times New Roman" w:hAnsi="Times New Roman" w:eastAsia="仿宋_GB2312" w:cs="Times New Roman"/>
          <w:kern w:val="2"/>
          <w:sz w:val="32"/>
          <w:szCs w:val="32"/>
          <w:lang w:val="en-US" w:eastAsia="zh-CN" w:bidi="ar-SA"/>
        </w:rPr>
      </w:pPr>
    </w:p>
    <w:p w14:paraId="7751BE8E">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关于板低集气管道热水河-滨海分输站</w:t>
      </w:r>
    </w:p>
    <w:p w14:paraId="42C83CEE">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color w:val="000000"/>
          <w:sz w:val="44"/>
          <w:lang w:val="en-US" w:eastAsia="zh-CN"/>
        </w:rPr>
      </w:pPr>
      <w:r>
        <w:rPr>
          <w:rFonts w:hint="eastAsia" w:ascii="方正小标宋简体" w:hAnsi="方正小标宋简体" w:eastAsia="方正小标宋简体" w:cs="方正小标宋简体"/>
          <w:color w:val="000000"/>
          <w:sz w:val="44"/>
        </w:rPr>
        <w:t>安全隐患治理工程</w:t>
      </w:r>
      <w:r>
        <w:rPr>
          <w:rFonts w:hint="eastAsia" w:ascii="方正小标宋简体" w:hAnsi="方正小标宋简体" w:eastAsia="方正小标宋简体" w:cs="方正小标宋简体"/>
          <w:color w:val="000000"/>
          <w:sz w:val="44"/>
          <w:lang w:val="en-US" w:eastAsia="zh-CN"/>
        </w:rPr>
        <w:t>环境影响报告表的批复</w:t>
      </w:r>
    </w:p>
    <w:p w14:paraId="09E5C8C8">
      <w:pPr>
        <w:spacing w:line="0" w:lineRule="atLeast"/>
        <w:jc w:val="center"/>
        <w:rPr>
          <w:rFonts w:ascii="宋体" w:hAnsi="宋体"/>
          <w:b/>
          <w:color w:val="000000"/>
          <w:sz w:val="21"/>
          <w:szCs w:val="21"/>
        </w:rPr>
      </w:pPr>
    </w:p>
    <w:p w14:paraId="67E9E72B">
      <w:pPr>
        <w:pStyle w:val="16"/>
        <w:pageBreakBefore w:val="0"/>
        <w:widowControl w:val="0"/>
        <w:kinsoku/>
        <w:wordWrap/>
        <w:overflowPunct/>
        <w:topLinePunct w:val="0"/>
        <w:autoSpaceDE/>
        <w:autoSpaceDN/>
        <w:bidi w:val="0"/>
        <w:snapToGrid/>
        <w:spacing w:line="600" w:lineRule="exact"/>
        <w:jc w:val="both"/>
        <w:rPr>
          <w:rFonts w:eastAsia="仿宋_GB2312"/>
          <w:sz w:val="32"/>
          <w:szCs w:val="32"/>
        </w:rPr>
      </w:pPr>
      <w:r>
        <w:rPr>
          <w:rFonts w:hint="eastAsia" w:eastAsia="仿宋_GB2312"/>
          <w:sz w:val="32"/>
          <w:szCs w:val="32"/>
          <w:lang w:val="en-US" w:eastAsia="zh-CN"/>
        </w:rPr>
        <w:t>中国石油天然气股份有限公司大港油田分公司</w:t>
      </w:r>
      <w:r>
        <w:rPr>
          <w:rFonts w:hint="eastAsia" w:eastAsia="仿宋_GB2312"/>
          <w:sz w:val="32"/>
          <w:szCs w:val="32"/>
          <w:lang w:eastAsia="zh-CN"/>
        </w:rPr>
        <w:t>：</w:t>
      </w:r>
    </w:p>
    <w:p w14:paraId="5DE8A161">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ascii="Times New Roman" w:hAnsi="Times New Roman" w:eastAsia="仿宋_GB2312" w:cs="Times New Roman"/>
          <w:bCs/>
          <w:sz w:val="32"/>
          <w:szCs w:val="32"/>
          <w:lang w:val="en-US" w:eastAsia="zh-CN"/>
        </w:rPr>
      </w:pPr>
      <w:r>
        <w:rPr>
          <w:rFonts w:hint="eastAsia" w:eastAsia="仿宋_GB2312"/>
          <w:sz w:val="32"/>
          <w:szCs w:val="32"/>
          <w:lang w:eastAsia="zh-CN"/>
        </w:rPr>
        <w:t>你公司</w:t>
      </w:r>
      <w:r>
        <w:rPr>
          <w:rFonts w:eastAsia="仿宋_GB2312"/>
          <w:sz w:val="32"/>
          <w:szCs w:val="32"/>
        </w:rPr>
        <w:t>呈</w:t>
      </w:r>
      <w:r>
        <w:rPr>
          <w:rFonts w:hint="eastAsia" w:eastAsia="仿宋_GB2312"/>
          <w:sz w:val="32"/>
          <w:szCs w:val="32"/>
          <w:lang w:eastAsia="zh-CN"/>
        </w:rPr>
        <w:t>报的《板低集气管道热水河-滨海分输站安全隐患治理工程环境影响报告表的请示》、</w:t>
      </w:r>
      <w:r>
        <w:rPr>
          <w:rFonts w:hint="eastAsia" w:eastAsia="仿宋_GB2312"/>
          <w:sz w:val="32"/>
          <w:szCs w:val="32"/>
          <w:lang w:val="en-US" w:eastAsia="zh-CN"/>
        </w:rPr>
        <w:t>联合泰泽环境科技发展有限公司编制的</w:t>
      </w:r>
      <w:r>
        <w:rPr>
          <w:rFonts w:hint="eastAsia" w:eastAsia="仿宋_GB2312"/>
          <w:sz w:val="32"/>
          <w:szCs w:val="32"/>
          <w:lang w:eastAsia="zh-CN"/>
        </w:rPr>
        <w:t>《板低集气管道热水河-滨海分输站安全隐患治理工程环境影响报告表</w:t>
      </w:r>
      <w:r>
        <w:rPr>
          <w:rFonts w:eastAsia="仿宋_GB2312"/>
          <w:sz w:val="32"/>
          <w:szCs w:val="32"/>
        </w:rPr>
        <w:t>》</w:t>
      </w:r>
      <w:r>
        <w:rPr>
          <w:rFonts w:hint="eastAsia" w:eastAsia="仿宋_GB2312"/>
          <w:sz w:val="32"/>
          <w:szCs w:val="32"/>
          <w:lang w:val="en-US" w:eastAsia="zh-CN"/>
        </w:rPr>
        <w:t>等材料</w:t>
      </w:r>
      <w:r>
        <w:rPr>
          <w:rFonts w:eastAsia="仿宋_GB2312"/>
          <w:sz w:val="32"/>
          <w:szCs w:val="32"/>
        </w:rPr>
        <w:t>收悉。经研究，现批复如下：</w:t>
      </w:r>
      <w:r>
        <w:rPr>
          <w:rFonts w:hint="eastAsia" w:eastAsia="仿宋_GB2312"/>
          <w:sz w:val="32"/>
          <w:szCs w:val="32"/>
          <w:lang w:val="en-US" w:eastAsia="zh-CN"/>
        </w:rPr>
        <w:t xml:space="preserve"> </w:t>
      </w:r>
    </w:p>
    <w:p w14:paraId="6E713A4B">
      <w:pPr>
        <w:keepNext w:val="0"/>
        <w:keepLines w:val="0"/>
        <w:pageBreakBefore w:val="0"/>
        <w:widowControl w:val="0"/>
        <w:numPr>
          <w:ilvl w:val="0"/>
          <w:numId w:val="0"/>
        </w:numPr>
        <w:tabs>
          <w:tab w:val="left" w:pos="4752"/>
        </w:tabs>
        <w:kinsoku/>
        <w:wordWrap/>
        <w:overflowPunct/>
        <w:topLinePunct w:val="0"/>
        <w:autoSpaceDE/>
        <w:autoSpaceDN/>
        <w:bidi w:val="0"/>
        <w:adjustRightInd w:val="0"/>
        <w:snapToGrid w:val="0"/>
        <w:spacing w:line="620" w:lineRule="exact"/>
        <w:rPr>
          <w:rFonts w:hint="default" w:ascii="Times New Roman" w:hAnsi="Times New Roman" w:eastAsia="仿宋_GB2312" w:cs="Times New Roman"/>
          <w:color w:val="0000FF"/>
          <w:sz w:val="32"/>
          <w:szCs w:val="32"/>
        </w:rPr>
      </w:pPr>
      <w:r>
        <w:rPr>
          <w:rFonts w:hint="eastAsia" w:eastAsia="仿宋_GB2312" w:cs="Times New Roman"/>
          <w:bCs/>
          <w:sz w:val="32"/>
          <w:szCs w:val="32"/>
          <w:lang w:val="en-US" w:eastAsia="zh-CN"/>
        </w:rPr>
        <w:t xml:space="preserve">    一、</w:t>
      </w:r>
      <w:r>
        <w:rPr>
          <w:rFonts w:hint="default" w:ascii="Times New Roman" w:hAnsi="Times New Roman" w:eastAsia="仿宋_GB2312" w:cs="Times New Roman"/>
          <w:bCs/>
          <w:sz w:val="32"/>
          <w:szCs w:val="32"/>
          <w:lang w:eastAsia="zh-CN"/>
        </w:rPr>
        <w:t>为</w:t>
      </w:r>
      <w:r>
        <w:rPr>
          <w:rFonts w:hint="eastAsia" w:ascii="Times New Roman" w:hAnsi="Times New Roman" w:eastAsia="仿宋_GB2312" w:cs="Times New Roman"/>
          <w:bCs/>
          <w:sz w:val="32"/>
          <w:szCs w:val="32"/>
          <w:lang w:eastAsia="zh-CN"/>
        </w:rPr>
        <w:t>了</w:t>
      </w:r>
      <w:r>
        <w:rPr>
          <w:rFonts w:hint="default" w:ascii="Times New Roman" w:hAnsi="Times New Roman" w:eastAsia="仿宋_GB2312" w:cs="Times New Roman"/>
          <w:bCs/>
          <w:sz w:val="32"/>
          <w:szCs w:val="32"/>
          <w:lang w:eastAsia="zh-CN"/>
        </w:rPr>
        <w:t>消除</w:t>
      </w:r>
      <w:r>
        <w:rPr>
          <w:rFonts w:hint="default" w:ascii="Times New Roman" w:hAnsi="Times New Roman" w:eastAsia="仿宋_GB2312" w:cs="Times New Roman"/>
          <w:sz w:val="32"/>
          <w:szCs w:val="32"/>
          <w:lang w:eastAsia="zh-CN"/>
        </w:rPr>
        <w:t>安全隐患，</w:t>
      </w:r>
      <w:r>
        <w:rPr>
          <w:rFonts w:hint="default" w:ascii="Times New Roman" w:hAnsi="Times New Roman" w:eastAsia="仿宋_GB2312" w:cs="Times New Roman"/>
          <w:sz w:val="32"/>
          <w:szCs w:val="32"/>
          <w:lang w:val="en-US" w:eastAsia="zh-CN"/>
        </w:rPr>
        <w:t>你</w:t>
      </w:r>
      <w:r>
        <w:rPr>
          <w:rFonts w:hint="default" w:ascii="Times New Roman" w:hAnsi="Times New Roman" w:eastAsia="仿宋_GB2312" w:cs="Times New Roman"/>
          <w:sz w:val="32"/>
          <w:szCs w:val="32"/>
        </w:rPr>
        <w:t>公司拟</w:t>
      </w:r>
      <w:r>
        <w:rPr>
          <w:rFonts w:hint="default" w:ascii="Times New Roman" w:hAnsi="Times New Roman" w:eastAsia="仿宋_GB2312" w:cs="Times New Roman"/>
          <w:sz w:val="32"/>
          <w:szCs w:val="32"/>
          <w:lang w:eastAsia="zh-CN"/>
        </w:rPr>
        <w:t>对</w:t>
      </w:r>
      <w:r>
        <w:rPr>
          <w:rFonts w:hint="eastAsia" w:eastAsia="仿宋_GB2312"/>
          <w:sz w:val="32"/>
          <w:szCs w:val="32"/>
          <w:lang w:eastAsia="zh-CN"/>
        </w:rPr>
        <w:t>板低集气管道热水河-滨海分输站</w:t>
      </w:r>
      <w:r>
        <w:rPr>
          <w:rFonts w:hint="default" w:ascii="Times New Roman" w:hAnsi="Times New Roman" w:eastAsia="仿宋_GB2312" w:cs="Times New Roman"/>
          <w:sz w:val="32"/>
          <w:szCs w:val="32"/>
          <w:lang w:eastAsia="zh-CN"/>
        </w:rPr>
        <w:t>沿原路</w:t>
      </w:r>
      <w:r>
        <w:rPr>
          <w:rFonts w:hint="eastAsia" w:eastAsia="仿宋_GB2312" w:cs="Times New Roman"/>
          <w:sz w:val="32"/>
          <w:szCs w:val="32"/>
          <w:lang w:val="en-US" w:eastAsia="zh-CN"/>
        </w:rPr>
        <w:t>由</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部分</w:t>
      </w:r>
      <w:r>
        <w:rPr>
          <w:rFonts w:hint="default" w:ascii="Times New Roman" w:hAnsi="Times New Roman" w:eastAsia="仿宋_GB2312" w:cs="Times New Roman"/>
          <w:sz w:val="32"/>
          <w:szCs w:val="32"/>
          <w:lang w:eastAsia="zh-CN"/>
        </w:rPr>
        <w:t>更换</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更换后的</w:t>
      </w:r>
      <w:r>
        <w:rPr>
          <w:rFonts w:hint="default" w:ascii="Times New Roman" w:hAnsi="Times New Roman" w:eastAsia="仿宋_GB2312" w:cs="Times New Roman"/>
          <w:sz w:val="32"/>
          <w:szCs w:val="32"/>
          <w:lang w:val="en-US" w:eastAsia="zh-CN"/>
        </w:rPr>
        <w:t>管道</w:t>
      </w:r>
      <w:r>
        <w:rPr>
          <w:rFonts w:hint="eastAsia" w:eastAsia="仿宋_GB2312" w:cs="Times New Roman"/>
          <w:sz w:val="32"/>
          <w:szCs w:val="32"/>
          <w:lang w:val="en-US" w:eastAsia="zh-CN"/>
        </w:rPr>
        <w:t>输送介质、输气规模、管径、输送</w:t>
      </w:r>
      <w:r>
        <w:rPr>
          <w:rFonts w:hint="default" w:ascii="Times New Roman" w:hAnsi="Times New Roman" w:eastAsia="仿宋_GB2312" w:cs="Times New Roman"/>
          <w:sz w:val="32"/>
          <w:szCs w:val="32"/>
          <w:lang w:val="en-US" w:eastAsia="zh-CN"/>
        </w:rPr>
        <w:t>压力</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均与</w:t>
      </w:r>
      <w:r>
        <w:rPr>
          <w:rFonts w:hint="eastAsia" w:eastAsia="仿宋_GB2312" w:cs="Times New Roman"/>
          <w:sz w:val="32"/>
          <w:szCs w:val="32"/>
          <w:lang w:val="en-US" w:eastAsia="zh-CN"/>
        </w:rPr>
        <w:t>现有集气管道保持</w:t>
      </w:r>
      <w:r>
        <w:rPr>
          <w:rFonts w:hint="default" w:ascii="Times New Roman" w:hAnsi="Times New Roman" w:eastAsia="仿宋_GB2312" w:cs="Times New Roman"/>
          <w:sz w:val="32"/>
          <w:szCs w:val="32"/>
          <w:lang w:val="en-US" w:eastAsia="zh-CN"/>
        </w:rPr>
        <w:t>一致。</w:t>
      </w:r>
      <w:r>
        <w:rPr>
          <w:rFonts w:hint="eastAsia"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eastAsia="zh-CN"/>
        </w:rPr>
        <w:t>建设内容为</w:t>
      </w:r>
      <w:r>
        <w:rPr>
          <w:rFonts w:hint="eastAsia" w:eastAsia="仿宋_GB2312" w:cs="Times New Roman"/>
          <w:sz w:val="32"/>
          <w:szCs w:val="32"/>
          <w:lang w:eastAsia="zh-CN"/>
        </w:rPr>
        <w:t>更换总长度</w:t>
      </w:r>
      <w:r>
        <w:rPr>
          <w:rFonts w:hint="eastAsia" w:eastAsia="仿宋_GB2312" w:cs="Times New Roman"/>
          <w:sz w:val="32"/>
          <w:szCs w:val="32"/>
          <w:lang w:val="en-US" w:eastAsia="zh-CN"/>
        </w:rPr>
        <w:t>4.11km的2段管道，一段为起点为热水河北岸、终点为热水河南岸（利用现有桁架跨越），另一段起点为独流减河南岸堤外、终点为滨海分输站（涉及的穿越段采用开挖+套管+盖板方式、利用现有涵洞、开挖+套管方式等）。</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bCs/>
          <w:sz w:val="32"/>
          <w:szCs w:val="32"/>
        </w:rPr>
        <w:t>总投资</w:t>
      </w:r>
      <w:r>
        <w:rPr>
          <w:rFonts w:hint="eastAsia" w:eastAsia="仿宋_GB2312" w:cs="Times New Roman"/>
          <w:bCs/>
          <w:sz w:val="32"/>
          <w:szCs w:val="32"/>
          <w:lang w:val="en-US" w:eastAsia="zh-CN"/>
        </w:rPr>
        <w:t>1832.53</w:t>
      </w:r>
      <w:r>
        <w:rPr>
          <w:rFonts w:hint="default" w:ascii="Times New Roman" w:hAnsi="Times New Roman" w:eastAsia="仿宋_GB2312" w:cs="Times New Roman"/>
          <w:bCs/>
          <w:sz w:val="32"/>
          <w:szCs w:val="32"/>
        </w:rPr>
        <w:t>万元，环保投资</w:t>
      </w:r>
      <w:r>
        <w:rPr>
          <w:rFonts w:hint="eastAsia" w:eastAsia="仿宋_GB2312" w:cs="Times New Roman"/>
          <w:bCs/>
          <w:sz w:val="32"/>
          <w:szCs w:val="32"/>
          <w:lang w:val="en-US" w:eastAsia="zh-CN"/>
        </w:rPr>
        <w:t>20</w:t>
      </w:r>
      <w:r>
        <w:rPr>
          <w:rFonts w:hint="default" w:ascii="Times New Roman" w:hAnsi="Times New Roman" w:eastAsia="仿宋_GB2312" w:cs="Times New Roman"/>
          <w:bCs/>
          <w:sz w:val="32"/>
          <w:szCs w:val="32"/>
        </w:rPr>
        <w:t>万元，约占投资总额的</w:t>
      </w:r>
      <w:r>
        <w:rPr>
          <w:rFonts w:hint="eastAsia" w:eastAsia="仿宋_GB2312" w:cs="Times New Roman"/>
          <w:bCs/>
          <w:sz w:val="32"/>
          <w:szCs w:val="32"/>
          <w:lang w:val="en-US" w:eastAsia="zh-CN"/>
        </w:rPr>
        <w:t>1.1</w:t>
      </w:r>
      <w:r>
        <w:rPr>
          <w:rFonts w:hint="default" w:ascii="Times New Roman" w:hAnsi="Times New Roman" w:eastAsia="仿宋_GB2312" w:cs="Times New Roman"/>
          <w:bCs/>
          <w:sz w:val="32"/>
          <w:szCs w:val="32"/>
        </w:rPr>
        <w:t>%。</w:t>
      </w:r>
    </w:p>
    <w:p w14:paraId="7228A6E4">
      <w:pPr>
        <w:keepNext w:val="0"/>
        <w:keepLines w:val="0"/>
        <w:widowControl/>
        <w:numPr>
          <w:ilvl w:val="0"/>
          <w:numId w:val="0"/>
        </w:numPr>
        <w:suppressLineNumbers w:val="0"/>
        <w:ind w:firstLine="640" w:firstLineChars="200"/>
        <w:jc w:val="both"/>
        <w:rPr>
          <w:rFonts w:eastAsia="仿宋_GB2312"/>
          <w:sz w:val="32"/>
          <w:szCs w:val="32"/>
        </w:rPr>
      </w:pPr>
      <w:r>
        <w:rPr>
          <w:rFonts w:hint="eastAsia" w:eastAsia="仿宋_GB2312" w:cs="Times New Roman"/>
          <w:sz w:val="32"/>
          <w:szCs w:val="32"/>
          <w:lang w:val="en-US" w:eastAsia="zh-CN"/>
        </w:rPr>
        <w:t>2024年12月9日</w:t>
      </w:r>
      <w:r>
        <w:rPr>
          <w:rFonts w:hint="default" w:ascii="Times New Roman" w:hAnsi="Times New Roman" w:eastAsia="仿宋_GB2312" w:cs="Times New Roman"/>
          <w:sz w:val="32"/>
          <w:szCs w:val="32"/>
          <w:lang w:val="en-US" w:eastAsia="zh-CN"/>
        </w:rPr>
        <w:t>至</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日，我局将</w:t>
      </w:r>
      <w:r>
        <w:rPr>
          <w:rFonts w:hint="eastAsia" w:eastAsia="仿宋_GB2312" w:cs="Times New Roman"/>
          <w:sz w:val="32"/>
          <w:szCs w:val="32"/>
          <w:lang w:val="en-US" w:eastAsia="zh-CN"/>
        </w:rPr>
        <w:t>该项目环评报告</w:t>
      </w:r>
      <w:r>
        <w:rPr>
          <w:rFonts w:hint="default" w:ascii="Times New Roman" w:hAnsi="Times New Roman" w:eastAsia="仿宋_GB2312" w:cs="Times New Roman"/>
          <w:sz w:val="32"/>
          <w:szCs w:val="32"/>
          <w:lang w:val="en-US" w:eastAsia="zh-CN"/>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w:t>
      </w:r>
      <w:r>
        <w:rPr>
          <w:rFonts w:hint="default" w:eastAsia="仿宋_GB2312" w:cs="Times New Roman"/>
          <w:sz w:val="32"/>
          <w:szCs w:val="32"/>
          <w:lang w:val="en-US" w:eastAsia="zh-CN"/>
        </w:rPr>
        <w:t>示；</w:t>
      </w:r>
      <w:r>
        <w:rPr>
          <w:rFonts w:hint="eastAsia" w:eastAsia="仿宋_GB2312" w:cs="Times New Roman"/>
          <w:sz w:val="32"/>
          <w:szCs w:val="32"/>
          <w:highlight w:val="none"/>
          <w:lang w:val="en-US" w:eastAsia="zh-CN"/>
        </w:rPr>
        <w:t>12</w:t>
      </w:r>
      <w:r>
        <w:rPr>
          <w:rFonts w:hint="default"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20</w:t>
      </w:r>
      <w:r>
        <w:rPr>
          <w:rFonts w:hint="default"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12</w:t>
      </w:r>
      <w:r>
        <w:rPr>
          <w:rFonts w:hint="default"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26</w:t>
      </w:r>
      <w:r>
        <w:rPr>
          <w:rFonts w:hint="default" w:eastAsia="仿宋_GB2312" w:cs="Times New Roman"/>
          <w:sz w:val="32"/>
          <w:szCs w:val="32"/>
          <w:highlight w:val="none"/>
          <w:lang w:val="en-US" w:eastAsia="zh-CN"/>
        </w:rPr>
        <w:t>日</w:t>
      </w:r>
      <w:r>
        <w:rPr>
          <w:rFonts w:hint="eastAsia" w:eastAsia="仿宋_GB2312" w:cs="Times New Roman"/>
          <w:sz w:val="32"/>
          <w:szCs w:val="32"/>
          <w:lang w:val="en-US" w:eastAsia="zh-CN"/>
        </w:rPr>
        <w:t>，</w:t>
      </w:r>
      <w:r>
        <w:rPr>
          <w:rFonts w:hint="default" w:eastAsia="仿宋_GB2312" w:cs="Times New Roman"/>
          <w:sz w:val="32"/>
          <w:szCs w:val="32"/>
          <w:lang w:val="en-US" w:eastAsia="zh-CN"/>
        </w:rPr>
        <w:t>将</w:t>
      </w:r>
      <w:r>
        <w:rPr>
          <w:rFonts w:hint="eastAsia" w:eastAsia="仿宋_GB2312" w:cs="Times New Roman"/>
          <w:sz w:val="32"/>
          <w:szCs w:val="32"/>
          <w:lang w:val="en-US" w:eastAsia="zh-CN"/>
        </w:rPr>
        <w:t>该项目</w:t>
      </w:r>
      <w:r>
        <w:rPr>
          <w:rFonts w:hint="eastAsia" w:ascii="Times New Roman" w:hAnsi="Times New Roman" w:eastAsia="仿宋_GB2312" w:cs="Times New Roman"/>
          <w:sz w:val="32"/>
          <w:szCs w:val="32"/>
          <w:lang w:val="en-US" w:eastAsia="zh-CN"/>
        </w:rPr>
        <w:t>环评</w:t>
      </w:r>
      <w:r>
        <w:rPr>
          <w:rFonts w:hint="eastAsia" w:eastAsia="仿宋_GB2312" w:cs="Times New Roman"/>
          <w:sz w:val="32"/>
          <w:szCs w:val="32"/>
          <w:lang w:val="en-US" w:eastAsia="zh-CN"/>
        </w:rPr>
        <w:t>报告</w:t>
      </w:r>
      <w:r>
        <w:rPr>
          <w:rFonts w:hint="default" w:ascii="Times New Roman" w:hAnsi="Times New Roman" w:eastAsia="仿宋_GB2312" w:cs="Times New Roman"/>
          <w:sz w:val="32"/>
          <w:szCs w:val="32"/>
          <w:lang w:val="en-US" w:eastAsia="zh-CN"/>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w:t>
      </w:r>
      <w:r>
        <w:rPr>
          <w:rFonts w:eastAsia="仿宋_GB2312"/>
          <w:sz w:val="32"/>
          <w:szCs w:val="32"/>
        </w:rPr>
        <w:t>根据公众反馈意见情况及环评报告结论，在严格落实环评报告所提出的各项污染防治措施、确保各类污染物稳定达标的前提下，项目具备环境可行性。</w:t>
      </w:r>
    </w:p>
    <w:p w14:paraId="524084D5">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sz w:val="32"/>
          <w:szCs w:val="32"/>
        </w:rPr>
      </w:pPr>
      <w:r>
        <w:rPr>
          <w:rFonts w:eastAsia="仿宋_GB2312"/>
          <w:sz w:val="32"/>
          <w:szCs w:val="32"/>
        </w:rPr>
        <w:t>二</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14:paraId="02BE91B0">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eastAsia" w:eastAsia="仿宋_GB2312"/>
          <w:bCs/>
          <w:sz w:val="32"/>
          <w:szCs w:val="32"/>
          <w:lang w:val="en-US" w:eastAsia="zh-CN"/>
        </w:rPr>
        <w:t>施工期间应严格执行国家相关环保法律法规和落实环评报告中提出的污染防范措施：</w:t>
      </w:r>
      <w:r>
        <w:rPr>
          <w:rFonts w:hint="default" w:ascii="Times New Roman" w:hAnsi="Times New Roman" w:eastAsia="仿宋_GB2312" w:cs="Times New Roman"/>
          <w:color w:val="auto"/>
          <w:sz w:val="32"/>
          <w:szCs w:val="32"/>
        </w:rPr>
        <w:t>减少扬尘</w:t>
      </w:r>
      <w:r>
        <w:rPr>
          <w:rFonts w:hint="default" w:ascii="Times New Roman" w:hAnsi="Times New Roman" w:eastAsia="仿宋_GB2312" w:cs="Times New Roman"/>
          <w:color w:val="auto"/>
          <w:sz w:val="32"/>
          <w:szCs w:val="32"/>
          <w:lang w:eastAsia="zh-CN"/>
        </w:rPr>
        <w:t>、焊接烟尘</w:t>
      </w:r>
      <w:r>
        <w:rPr>
          <w:rFonts w:hint="eastAsia"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eastAsia="zh-CN"/>
        </w:rPr>
        <w:t>对周边环境造成</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影响</w:t>
      </w:r>
      <w:r>
        <w:rPr>
          <w:rFonts w:hint="default" w:ascii="Times New Roman" w:hAnsi="Times New Roman" w:eastAsia="仿宋_GB2312" w:cs="Times New Roman"/>
          <w:color w:val="auto"/>
          <w:sz w:val="32"/>
          <w:szCs w:val="32"/>
        </w:rPr>
        <w:t>；管道试压废水重复利用后</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回用于洒水抑尘或拉运至港东联合站处置，</w:t>
      </w:r>
      <w:r>
        <w:rPr>
          <w:rFonts w:hint="default" w:ascii="Times New Roman" w:hAnsi="Times New Roman" w:eastAsia="仿宋_GB2312" w:cs="Times New Roman"/>
          <w:color w:val="auto"/>
          <w:sz w:val="32"/>
          <w:szCs w:val="32"/>
          <w:lang w:val="en-US" w:eastAsia="zh-CN"/>
        </w:rPr>
        <w:t>严禁排入周边水体</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合理安排施工时间，</w:t>
      </w:r>
      <w:r>
        <w:rPr>
          <w:rFonts w:hint="eastAsia" w:ascii="Times New Roman" w:hAnsi="Times New Roman" w:eastAsia="仿宋_GB2312" w:cs="Times New Roman"/>
          <w:color w:val="auto"/>
          <w:sz w:val="32"/>
          <w:szCs w:val="32"/>
          <w:lang w:eastAsia="zh-CN"/>
        </w:rPr>
        <w:t>选用低噪声设备，</w:t>
      </w:r>
      <w:r>
        <w:rPr>
          <w:rFonts w:hint="eastAsia" w:eastAsia="仿宋_GB2312" w:cs="Times New Roman"/>
          <w:color w:val="auto"/>
          <w:sz w:val="32"/>
          <w:szCs w:val="32"/>
          <w:lang w:val="en-US" w:eastAsia="zh-CN"/>
        </w:rPr>
        <w:t>并采取隔声减振措施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sz w:val="32"/>
          <w:szCs w:val="32"/>
        </w:rPr>
        <w:t>焊渣</w:t>
      </w:r>
      <w:r>
        <w:rPr>
          <w:rFonts w:hint="eastAsia" w:ascii="Times New Roman" w:hAnsi="Times New Roman" w:eastAsia="仿宋_GB2312" w:cs="Times New Roman"/>
          <w:bCs/>
          <w:sz w:val="32"/>
          <w:szCs w:val="32"/>
          <w:lang w:val="en-US" w:eastAsia="zh-CN"/>
        </w:rPr>
        <w:t>按照</w:t>
      </w:r>
      <w:r>
        <w:rPr>
          <w:rFonts w:hint="default" w:ascii="Times New Roman" w:hAnsi="Times New Roman" w:eastAsia="仿宋_GB2312" w:cs="Times New Roman"/>
          <w:bCs/>
          <w:sz w:val="32"/>
          <w:szCs w:val="32"/>
        </w:rPr>
        <w:t>一般工业固体废物</w:t>
      </w:r>
      <w:r>
        <w:rPr>
          <w:rFonts w:hint="eastAsia" w:ascii="Times New Roman" w:hAnsi="Times New Roman" w:eastAsia="仿宋_GB2312" w:cs="Times New Roman"/>
          <w:bCs/>
          <w:sz w:val="32"/>
          <w:szCs w:val="32"/>
          <w:lang w:val="en-US" w:eastAsia="zh-CN"/>
        </w:rPr>
        <w:t>进行</w:t>
      </w:r>
      <w:r>
        <w:rPr>
          <w:rFonts w:hint="default" w:ascii="Times New Roman" w:hAnsi="Times New Roman" w:eastAsia="仿宋_GB2312" w:cs="Times New Roman"/>
          <w:bCs/>
          <w:sz w:val="32"/>
          <w:szCs w:val="32"/>
        </w:rPr>
        <w:t>处置，废旧管道</w:t>
      </w:r>
      <w:r>
        <w:rPr>
          <w:rFonts w:hint="default" w:ascii="Times New Roman" w:hAnsi="Times New Roman" w:eastAsia="仿宋_GB2312" w:cs="Times New Roman"/>
          <w:bCs/>
          <w:sz w:val="32"/>
          <w:szCs w:val="32"/>
          <w:lang w:eastAsia="zh-CN"/>
        </w:rPr>
        <w:t>由回收部门</w:t>
      </w:r>
      <w:r>
        <w:rPr>
          <w:rFonts w:hint="default" w:ascii="Times New Roman" w:hAnsi="Times New Roman" w:eastAsia="仿宋_GB2312" w:cs="Times New Roman"/>
          <w:bCs/>
          <w:sz w:val="32"/>
          <w:szCs w:val="32"/>
        </w:rPr>
        <w:t>回收，废</w:t>
      </w:r>
      <w:r>
        <w:rPr>
          <w:rFonts w:hint="eastAsia" w:eastAsia="仿宋_GB2312" w:cs="Times New Roman"/>
          <w:bCs/>
          <w:sz w:val="32"/>
          <w:szCs w:val="32"/>
          <w:lang w:val="en-US" w:eastAsia="zh-CN"/>
        </w:rPr>
        <w:t>油漆</w:t>
      </w:r>
      <w:r>
        <w:rPr>
          <w:rFonts w:hint="default" w:ascii="Times New Roman" w:hAnsi="Times New Roman" w:eastAsia="仿宋_GB2312" w:cs="Times New Roman"/>
          <w:bCs/>
          <w:sz w:val="32"/>
          <w:szCs w:val="32"/>
        </w:rPr>
        <w:t>、废漆桶交由有资质的单位进行</w:t>
      </w:r>
      <w:r>
        <w:rPr>
          <w:rFonts w:hint="default" w:ascii="Times New Roman" w:hAnsi="Times New Roman" w:eastAsia="仿宋_GB2312" w:cs="Times New Roman"/>
          <w:bCs/>
          <w:color w:val="auto"/>
          <w:sz w:val="32"/>
          <w:szCs w:val="32"/>
        </w:rPr>
        <w:t>处置</w:t>
      </w:r>
      <w:r>
        <w:rPr>
          <w:rFonts w:hint="default" w:ascii="Times New Roman" w:hAnsi="Times New Roman" w:eastAsia="仿宋_GB2312" w:cs="Times New Roman"/>
          <w:color w:val="auto"/>
          <w:sz w:val="32"/>
          <w:szCs w:val="32"/>
          <w:lang w:val="en-US" w:eastAsia="zh-CN"/>
        </w:rPr>
        <w:t>；探伤</w:t>
      </w:r>
      <w:r>
        <w:rPr>
          <w:rFonts w:hint="default" w:ascii="Times New Roman" w:hAnsi="Times New Roman" w:eastAsia="仿宋_GB2312" w:cs="Times New Roman"/>
          <w:bCs/>
          <w:sz w:val="32"/>
          <w:szCs w:val="32"/>
          <w:lang w:val="en-US" w:eastAsia="zh-CN"/>
        </w:rPr>
        <w:t>作业须委托具有相关生产许可资质的单位进行，探伤设施须满足国家规范的相关防护措施。</w:t>
      </w:r>
    </w:p>
    <w:p w14:paraId="706FC70C">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default"/>
          <w:lang w:val="en-US" w:eastAsia="zh-CN"/>
        </w:rPr>
      </w:pPr>
      <w:r>
        <w:rPr>
          <w:rFonts w:hint="eastAsia" w:eastAsia="仿宋_GB2312" w:cs="Times New Roman"/>
          <w:bCs/>
          <w:sz w:val="32"/>
          <w:szCs w:val="32"/>
          <w:lang w:val="en-US" w:eastAsia="zh-CN"/>
        </w:rPr>
        <w:t>2.施工过程中要采取全面的生态保护和水土保持措施；严格避让周边生态保护红线区域，避免造成环境影响；</w:t>
      </w:r>
      <w:r>
        <w:rPr>
          <w:rFonts w:hint="eastAsia" w:eastAsia="仿宋_GB2312" w:cs="Times New Roman"/>
          <w:sz w:val="32"/>
          <w:szCs w:val="32"/>
          <w:lang w:eastAsia="zh-CN"/>
        </w:rPr>
        <w:t>施工结束后及时做好生态恢复</w:t>
      </w:r>
      <w:r>
        <w:rPr>
          <w:rFonts w:hint="eastAsia" w:eastAsia="仿宋_GB2312" w:cs="Times New Roman"/>
          <w:bCs/>
          <w:sz w:val="32"/>
          <w:szCs w:val="32"/>
          <w:lang w:val="en-US" w:eastAsia="zh-CN"/>
        </w:rPr>
        <w:t>。</w:t>
      </w:r>
    </w:p>
    <w:p w14:paraId="060531FB">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default" w:eastAsia="仿宋_GB2312"/>
          <w:sz w:val="32"/>
          <w:szCs w:val="32"/>
          <w:lang w:val="en-US" w:eastAsia="zh-CN"/>
        </w:rPr>
      </w:pPr>
      <w:r>
        <w:rPr>
          <w:rFonts w:hint="eastAsia" w:eastAsia="仿宋_GB2312"/>
          <w:sz w:val="32"/>
          <w:szCs w:val="32"/>
          <w:lang w:val="en-US" w:eastAsia="zh-CN"/>
        </w:rPr>
        <w:t>3.施工前应做好相邻其他管道的勘查工作，并采取合理避让措施，防止因彼此影响造成次生环境事故。</w:t>
      </w:r>
    </w:p>
    <w:p w14:paraId="47AA0454">
      <w:pPr>
        <w:pStyle w:val="2"/>
        <w:ind w:firstLine="640" w:firstLineChars="200"/>
        <w:rPr>
          <w:rFonts w:hint="default"/>
          <w:lang w:val="en-US" w:eastAsia="zh-CN"/>
        </w:rPr>
      </w:pPr>
      <w:r>
        <w:rPr>
          <w:rFonts w:hint="eastAsia" w:eastAsia="仿宋_GB2312"/>
          <w:sz w:val="32"/>
          <w:szCs w:val="32"/>
          <w:lang w:val="en-US" w:eastAsia="zh-CN"/>
        </w:rPr>
        <w:t>4.</w:t>
      </w:r>
      <w:r>
        <w:rPr>
          <w:rFonts w:hint="default" w:ascii="Times New Roman" w:hAnsi="Times New Roman" w:eastAsia="仿宋_GB2312" w:cs="Times New Roman"/>
          <w:bCs/>
          <w:sz w:val="32"/>
          <w:szCs w:val="32"/>
          <w:lang w:val="en-US" w:eastAsia="zh-CN"/>
        </w:rPr>
        <w:t>强化各项</w:t>
      </w:r>
      <w:r>
        <w:rPr>
          <w:rFonts w:hint="default" w:ascii="Times New Roman" w:hAnsi="Times New Roman" w:eastAsia="仿宋_GB2312" w:cs="Times New Roman"/>
          <w:color w:val="auto"/>
          <w:sz w:val="32"/>
          <w:szCs w:val="32"/>
          <w:lang w:val="en-US" w:eastAsia="zh-CN"/>
        </w:rPr>
        <w:t>环境风险防范措施，</w:t>
      </w:r>
      <w:r>
        <w:rPr>
          <w:rFonts w:hint="eastAsia" w:eastAsia="仿宋_GB2312" w:cs="Times New Roman"/>
          <w:color w:val="auto"/>
          <w:sz w:val="32"/>
          <w:szCs w:val="32"/>
          <w:lang w:val="en-US" w:eastAsia="zh-CN"/>
        </w:rPr>
        <w:t>严格落实</w:t>
      </w:r>
      <w:r>
        <w:rPr>
          <w:rFonts w:hint="default" w:ascii="Times New Roman" w:hAnsi="Times New Roman" w:eastAsia="仿宋_GB2312" w:cs="Times New Roman"/>
          <w:bCs/>
          <w:color w:val="auto"/>
          <w:sz w:val="32"/>
          <w:szCs w:val="32"/>
          <w:lang w:val="en-US" w:eastAsia="zh-CN"/>
        </w:rPr>
        <w:t>突发环</w:t>
      </w:r>
      <w:r>
        <w:rPr>
          <w:rFonts w:hint="default" w:ascii="Times New Roman" w:hAnsi="Times New Roman" w:eastAsia="仿宋_GB2312" w:cs="Times New Roman"/>
          <w:color w:val="auto"/>
          <w:sz w:val="32"/>
          <w:szCs w:val="32"/>
          <w:lang w:val="en-US" w:eastAsia="zh-CN"/>
        </w:rPr>
        <w:t>境风险应急预案</w:t>
      </w:r>
      <w:r>
        <w:rPr>
          <w:rFonts w:hint="eastAsia" w:eastAsia="仿宋_GB2312" w:cs="Times New Roman"/>
          <w:color w:val="auto"/>
          <w:sz w:val="32"/>
          <w:szCs w:val="32"/>
          <w:lang w:val="en-US" w:eastAsia="zh-CN"/>
        </w:rPr>
        <w:t>，并做好</w:t>
      </w:r>
      <w:r>
        <w:rPr>
          <w:rFonts w:hint="default" w:ascii="Times New Roman" w:hAnsi="Times New Roman" w:eastAsia="仿宋_GB2312" w:cs="Times New Roman"/>
          <w:color w:val="auto"/>
          <w:sz w:val="32"/>
          <w:szCs w:val="32"/>
          <w:lang w:val="en-US" w:eastAsia="zh-CN"/>
        </w:rPr>
        <w:t>风险防范措施</w:t>
      </w:r>
      <w:r>
        <w:rPr>
          <w:rFonts w:hint="eastAsia" w:eastAsia="仿宋_GB2312" w:cs="Times New Roman"/>
          <w:color w:val="auto"/>
          <w:sz w:val="32"/>
          <w:szCs w:val="32"/>
          <w:lang w:val="en-US" w:eastAsia="zh-CN"/>
        </w:rPr>
        <w:t>及应急处理措施的合理衔接工作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提高应对突发环境风险事故的处理能力，有效防范环境风险</w:t>
      </w:r>
      <w:r>
        <w:rPr>
          <w:rFonts w:hint="eastAsia" w:eastAsia="仿宋_GB2312" w:cs="Times New Roman"/>
          <w:bCs/>
          <w:color w:val="auto"/>
          <w:sz w:val="32"/>
          <w:szCs w:val="32"/>
          <w:lang w:val="en-US" w:eastAsia="zh-CN"/>
        </w:rPr>
        <w:t>，</w:t>
      </w:r>
      <w:r>
        <w:rPr>
          <w:rFonts w:hint="eastAsia" w:eastAsia="仿宋_GB2312"/>
          <w:lang w:val="en-US" w:eastAsia="zh-CN"/>
        </w:rPr>
        <w:t>杜绝发生环境事故和次生环境事故。</w:t>
      </w:r>
    </w:p>
    <w:p w14:paraId="1097BAC4">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项目</w:t>
      </w:r>
      <w:r>
        <w:rPr>
          <w:rFonts w:eastAsia="仿宋_GB2312"/>
          <w:sz w:val="32"/>
          <w:szCs w:val="32"/>
        </w:rPr>
        <w:t>建成后不新增</w:t>
      </w:r>
      <w:r>
        <w:rPr>
          <w:rFonts w:hint="eastAsia" w:eastAsia="仿宋_GB2312"/>
          <w:sz w:val="32"/>
          <w:szCs w:val="32"/>
          <w:lang w:val="en-US" w:eastAsia="zh-CN"/>
        </w:rPr>
        <w:t>主要</w:t>
      </w:r>
      <w:r>
        <w:rPr>
          <w:rFonts w:eastAsia="仿宋_GB2312"/>
          <w:sz w:val="32"/>
          <w:szCs w:val="32"/>
        </w:rPr>
        <w:t>污染物排放总量。</w:t>
      </w:r>
    </w:p>
    <w:p w14:paraId="7F7D4013">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eastAsia="仿宋_GB2312"/>
          <w:sz w:val="32"/>
          <w:szCs w:val="32"/>
        </w:rPr>
      </w:pPr>
      <w:r>
        <w:rPr>
          <w:rFonts w:hint="eastAsia" w:eastAsia="仿宋_GB2312"/>
          <w:sz w:val="32"/>
          <w:szCs w:val="32"/>
        </w:rPr>
        <w:t>四、</w:t>
      </w:r>
      <w:r>
        <w:rPr>
          <w:rFonts w:hint="eastAsia" w:eastAsia="仿宋_GB2312" w:cs="Times New Roman"/>
          <w:sz w:val="32"/>
          <w:szCs w:val="32"/>
          <w:lang w:eastAsia="zh-CN"/>
        </w:rPr>
        <w:t>项目</w:t>
      </w:r>
      <w:r>
        <w:rPr>
          <w:rFonts w:hint="default" w:ascii="Times New Roman" w:hAnsi="Times New Roman" w:eastAsia="仿宋_GB2312" w:cs="Times New Roman"/>
          <w:color w:val="auto"/>
          <w:sz w:val="32"/>
          <w:szCs w:val="32"/>
        </w:rPr>
        <w:t>建设应严格执行环境保护设施</w:t>
      </w:r>
      <w:r>
        <w:rPr>
          <w:rFonts w:hint="default" w:ascii="Times New Roman" w:hAnsi="Times New Roman" w:eastAsia="仿宋_GB2312" w:cs="Times New Roman"/>
          <w:sz w:val="32"/>
          <w:szCs w:val="32"/>
        </w:rPr>
        <w:t>与主体</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竣工后，按规定的标准和程序开展环境保护验收，经验收合格后方可正式投入</w:t>
      </w:r>
      <w:r>
        <w:rPr>
          <w:rFonts w:hint="eastAsia" w:eastAsia="仿宋_GB2312" w:cs="Times New Roman"/>
          <w:sz w:val="32"/>
          <w:szCs w:val="32"/>
          <w:lang w:val="en-US" w:eastAsia="zh-CN"/>
        </w:rPr>
        <w:t>生产；</w:t>
      </w:r>
      <w:r>
        <w:rPr>
          <w:rFonts w:hint="default" w:ascii="Times New Roman" w:hAnsi="Times New Roman" w:eastAsia="仿宋_GB2312" w:cs="Times New Roman"/>
          <w:sz w:val="32"/>
          <w:szCs w:val="32"/>
        </w:rPr>
        <w:t>若</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的性质</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4AFB1D56">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rPr>
      </w:pPr>
      <w:r>
        <w:rPr>
          <w:rFonts w:hint="eastAsia" w:eastAsia="仿宋_GB2312"/>
          <w:sz w:val="32"/>
          <w:szCs w:val="32"/>
          <w:lang w:val="en-US" w:eastAsia="zh-CN"/>
        </w:rPr>
        <w:t>五</w:t>
      </w:r>
      <w:r>
        <w:rPr>
          <w:rFonts w:hint="eastAsia" w:eastAsia="仿宋_GB2312"/>
          <w:sz w:val="32"/>
          <w:szCs w:val="32"/>
        </w:rPr>
        <w:t>、</w:t>
      </w:r>
      <w:r>
        <w:rPr>
          <w:rFonts w:hint="eastAsia" w:eastAsia="仿宋_GB2312"/>
          <w:sz w:val="32"/>
          <w:szCs w:val="32"/>
          <w:lang w:eastAsia="zh-CN"/>
        </w:rPr>
        <w:t>项目</w:t>
      </w:r>
      <w:r>
        <w:rPr>
          <w:rFonts w:hint="eastAsia" w:eastAsia="仿宋_GB2312"/>
          <w:sz w:val="32"/>
          <w:szCs w:val="32"/>
        </w:rPr>
        <w:t>应执行以下标准：</w:t>
      </w:r>
    </w:p>
    <w:p w14:paraId="4662161F">
      <w:pPr>
        <w:spacing w:line="360" w:lineRule="auto"/>
        <w:ind w:firstLine="640" w:firstLineChars="200"/>
        <w:textAlignment w:val="baseline"/>
        <w:rPr>
          <w:rFonts w:eastAsia="仿宋_GB2312"/>
          <w:sz w:val="32"/>
          <w:szCs w:val="32"/>
        </w:rPr>
      </w:pPr>
      <w:r>
        <w:rPr>
          <w:rFonts w:hint="eastAsia" w:eastAsia="仿宋_GB2312"/>
          <w:sz w:val="32"/>
          <w:szCs w:val="32"/>
          <w:lang w:val="en-US" w:eastAsia="zh-CN"/>
        </w:rPr>
        <w:t>1.</w:t>
      </w:r>
      <w:r>
        <w:rPr>
          <w:rFonts w:eastAsia="仿宋_GB2312"/>
          <w:sz w:val="32"/>
          <w:szCs w:val="32"/>
        </w:rPr>
        <w:t>《环境空气质量标准》（GB3095-2012）二级；</w:t>
      </w:r>
    </w:p>
    <w:p w14:paraId="61D04F55">
      <w:pPr>
        <w:spacing w:line="360" w:lineRule="auto"/>
        <w:ind w:firstLine="640" w:firstLineChars="200"/>
        <w:textAlignment w:val="baseline"/>
        <w:rPr>
          <w:rFonts w:hint="eastAsia" w:eastAsia="仿宋_GB2312"/>
          <w:sz w:val="32"/>
          <w:szCs w:val="32"/>
        </w:rPr>
      </w:pPr>
      <w:r>
        <w:rPr>
          <w:rFonts w:hint="eastAsia" w:eastAsia="仿宋_GB2312"/>
          <w:sz w:val="32"/>
          <w:szCs w:val="32"/>
          <w:lang w:val="en-US" w:eastAsia="zh-CN"/>
        </w:rPr>
        <w:t>2.</w:t>
      </w:r>
      <w:r>
        <w:rPr>
          <w:rFonts w:eastAsia="仿宋_GB2312"/>
          <w:sz w:val="32"/>
          <w:szCs w:val="32"/>
        </w:rPr>
        <w:t>《声环境质量标准》（GB3096-2008）</w:t>
      </w:r>
      <w:r>
        <w:rPr>
          <w:rFonts w:hint="eastAsia" w:eastAsia="仿宋_GB2312"/>
          <w:sz w:val="32"/>
          <w:szCs w:val="32"/>
          <w:lang w:val="en-US" w:eastAsia="zh-CN"/>
        </w:rPr>
        <w:t>3类</w:t>
      </w:r>
      <w:r>
        <w:rPr>
          <w:rFonts w:hint="eastAsia" w:eastAsia="仿宋_GB2312"/>
          <w:sz w:val="32"/>
          <w:szCs w:val="32"/>
        </w:rPr>
        <w:t>；</w:t>
      </w:r>
    </w:p>
    <w:p w14:paraId="2F539CE4">
      <w:pPr>
        <w:pageBreakBefore w:val="0"/>
        <w:widowControl w:val="0"/>
        <w:kinsoku/>
        <w:wordWrap/>
        <w:overflowPunct/>
        <w:topLinePunct w:val="0"/>
        <w:autoSpaceDE/>
        <w:autoSpaceDN/>
        <w:bidi w:val="0"/>
        <w:snapToGrid/>
        <w:spacing w:line="600" w:lineRule="exact"/>
        <w:ind w:firstLine="630"/>
        <w:textAlignment w:val="baseline"/>
        <w:rPr>
          <w:rFonts w:hint="eastAsia" w:eastAsia="仿宋_GB2312"/>
          <w:sz w:val="32"/>
          <w:szCs w:val="32"/>
          <w:lang w:eastAsia="zh-CN"/>
        </w:rPr>
      </w:pPr>
      <w:r>
        <w:rPr>
          <w:rFonts w:hint="eastAsia" w:eastAsia="仿宋_GB2312"/>
          <w:sz w:val="32"/>
          <w:szCs w:val="32"/>
          <w:lang w:val="en-US" w:eastAsia="zh-CN"/>
        </w:rPr>
        <w:t>3.</w:t>
      </w:r>
      <w:r>
        <w:rPr>
          <w:rFonts w:eastAsia="仿宋_GB2312"/>
          <w:sz w:val="32"/>
          <w:szCs w:val="32"/>
        </w:rPr>
        <w:t>《建筑施工场界环境噪声排放标准》（GB12523-2011）</w:t>
      </w:r>
      <w:r>
        <w:rPr>
          <w:rFonts w:hint="eastAsia" w:eastAsia="仿宋_GB2312"/>
          <w:sz w:val="32"/>
          <w:szCs w:val="32"/>
          <w:lang w:eastAsia="zh-CN"/>
        </w:rPr>
        <w:t>。</w:t>
      </w:r>
    </w:p>
    <w:p w14:paraId="64A168D8">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lang w:eastAsia="zh-CN"/>
        </w:rPr>
      </w:pPr>
      <w:r>
        <w:rPr>
          <w:rFonts w:hint="eastAsia" w:eastAsia="仿宋_GB2312"/>
          <w:sz w:val="32"/>
          <w:szCs w:val="32"/>
        </w:rPr>
        <w:t>此复</w:t>
      </w:r>
      <w:r>
        <w:rPr>
          <w:rFonts w:hint="eastAsia" w:eastAsia="仿宋_GB2312"/>
          <w:sz w:val="32"/>
          <w:szCs w:val="32"/>
          <w:lang w:eastAsia="zh-CN"/>
        </w:rPr>
        <w:t>。</w:t>
      </w:r>
    </w:p>
    <w:p w14:paraId="0CF6F9FF">
      <w:pPr>
        <w:pStyle w:val="2"/>
        <w:rPr>
          <w:rFonts w:hint="eastAsia" w:eastAsia="仿宋_GB2312"/>
          <w:sz w:val="32"/>
          <w:szCs w:val="32"/>
        </w:rPr>
      </w:pPr>
    </w:p>
    <w:p w14:paraId="6D72076B">
      <w:pPr>
        <w:rPr>
          <w:rFonts w:hint="eastAsia"/>
        </w:rPr>
      </w:pPr>
    </w:p>
    <w:p w14:paraId="4ECB30CE"/>
    <w:p w14:paraId="5515D594">
      <w:pPr>
        <w:pageBreakBefore w:val="0"/>
        <w:widowControl w:val="0"/>
        <w:kinsoku/>
        <w:wordWrap w:val="0"/>
        <w:overflowPunct/>
        <w:topLinePunct w:val="0"/>
        <w:autoSpaceDE/>
        <w:autoSpaceDN/>
        <w:bidi w:val="0"/>
        <w:snapToGrid/>
        <w:spacing w:line="360" w:lineRule="auto"/>
        <w:ind w:firstLine="3200" w:firstLineChars="1000"/>
        <w:jc w:val="center"/>
        <w:rPr>
          <w:rFonts w:hint="eastAsia"/>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14:paraId="601E7164">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14:paraId="5831DA25">
      <w:pPr>
        <w:rPr>
          <w:rFonts w:hint="eastAsia"/>
          <w:lang w:val="en-US" w:eastAsia="zh-CN"/>
        </w:rPr>
      </w:pPr>
    </w:p>
    <w:p w14:paraId="5642BF23">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报告</w:t>
      </w:r>
      <w:r>
        <w:rPr>
          <w:rFonts w:hint="eastAsia" w:eastAsia="仿宋_GB2312" w:cs="Times New Roman"/>
          <w:sz w:val="28"/>
          <w:szCs w:val="28"/>
          <w:lang w:eastAsia="zh-CN"/>
        </w:rPr>
        <w:t>表</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批复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jc w:val="center"/>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33D9402D">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jc w:val="center"/>
        </w:trPr>
        <w:tc>
          <w:tcPr>
            <w:tcW w:w="9054" w:type="dxa"/>
            <w:tcBorders>
              <w:top w:val="single" w:color="auto" w:sz="8" w:space="0"/>
              <w:bottom w:val="single" w:color="auto" w:sz="8" w:space="0"/>
            </w:tcBorders>
            <w:vAlign w:val="center"/>
          </w:tcPr>
          <w:p w14:paraId="6E729F90">
            <w:pPr>
              <w:spacing w:line="360" w:lineRule="auto"/>
              <w:ind w:right="160"/>
              <w:jc w:val="both"/>
              <w:rPr>
                <w:rFonts w:hint="default" w:ascii="Times New Roman" w:hAnsi="Times New Roman" w:cs="Times New Roman"/>
                <w:sz w:val="32"/>
              </w:rPr>
            </w:pPr>
            <w:r>
              <w:rPr>
                <w:rFonts w:hint="default" w:ascii="Times New Roman" w:hAnsi="Times New Roman" w:eastAsia="仿宋_GB2312" w:cs="Times New Roman"/>
                <w:sz w:val="28"/>
                <w:szCs w:val="28"/>
              </w:rPr>
              <w:t>抄送：天津市滨海新区生态环境局</w:t>
            </w:r>
          </w:p>
        </w:tc>
      </w:tr>
    </w:tbl>
    <w:p w14:paraId="6AAC6F4F">
      <w:pPr>
        <w:rPr>
          <w:rFonts w:hint="eastAsia" w:ascii="仿宋_GB2312" w:eastAsia="仿宋_GB2312"/>
          <w:sz w:val="32"/>
          <w:szCs w:val="32"/>
          <w:lang w:val="en-US" w:eastAsia="zh-CN"/>
        </w:rPr>
      </w:pPr>
      <w:r>
        <w:rPr>
          <w:rFonts w:hint="default" w:ascii="Times New Roman" w:hAnsi="Times New Roman" w:eastAsia="仿宋_GB2312" w:cs="Times New Roman"/>
          <w:sz w:val="28"/>
          <w:szCs w:val="28"/>
        </w:rPr>
        <w:t>天津市滨海新区行政审批局</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27</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E0DD">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74692">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374692">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6BDD">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28F9FC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CF4B91"/>
    <w:rsid w:val="022C4AC3"/>
    <w:rsid w:val="03171546"/>
    <w:rsid w:val="031C0752"/>
    <w:rsid w:val="03EA0063"/>
    <w:rsid w:val="04970BC1"/>
    <w:rsid w:val="04AD0797"/>
    <w:rsid w:val="051540DF"/>
    <w:rsid w:val="055D49DC"/>
    <w:rsid w:val="070E6657"/>
    <w:rsid w:val="079075EF"/>
    <w:rsid w:val="07CF6683"/>
    <w:rsid w:val="08A27CFE"/>
    <w:rsid w:val="08CC7EF8"/>
    <w:rsid w:val="08CE0793"/>
    <w:rsid w:val="0A616717"/>
    <w:rsid w:val="0A7B58F8"/>
    <w:rsid w:val="0A8F7AAE"/>
    <w:rsid w:val="0A993ECD"/>
    <w:rsid w:val="0AFD432E"/>
    <w:rsid w:val="0B0D5A13"/>
    <w:rsid w:val="0B6D14B7"/>
    <w:rsid w:val="0BBB7DA4"/>
    <w:rsid w:val="0C2E1BB9"/>
    <w:rsid w:val="0C7B1B6D"/>
    <w:rsid w:val="0CD111DE"/>
    <w:rsid w:val="0D777966"/>
    <w:rsid w:val="0D885FD0"/>
    <w:rsid w:val="0D994442"/>
    <w:rsid w:val="0DA17C0A"/>
    <w:rsid w:val="0DA30438"/>
    <w:rsid w:val="0E491814"/>
    <w:rsid w:val="0EA6106F"/>
    <w:rsid w:val="0F15100D"/>
    <w:rsid w:val="0FA859B9"/>
    <w:rsid w:val="0FAF67EF"/>
    <w:rsid w:val="0FBF42EC"/>
    <w:rsid w:val="11D91F41"/>
    <w:rsid w:val="126758C9"/>
    <w:rsid w:val="13510475"/>
    <w:rsid w:val="135F4C81"/>
    <w:rsid w:val="138327ED"/>
    <w:rsid w:val="13836188"/>
    <w:rsid w:val="14367871"/>
    <w:rsid w:val="149802DC"/>
    <w:rsid w:val="1518002A"/>
    <w:rsid w:val="15794D99"/>
    <w:rsid w:val="15C76F90"/>
    <w:rsid w:val="15DE40BE"/>
    <w:rsid w:val="16420B4B"/>
    <w:rsid w:val="17977B39"/>
    <w:rsid w:val="17B46048"/>
    <w:rsid w:val="180E7B33"/>
    <w:rsid w:val="184D3DB0"/>
    <w:rsid w:val="18865F91"/>
    <w:rsid w:val="18B55B11"/>
    <w:rsid w:val="19827E91"/>
    <w:rsid w:val="19B95B36"/>
    <w:rsid w:val="19C23FA1"/>
    <w:rsid w:val="1ADD0573"/>
    <w:rsid w:val="1B164FFC"/>
    <w:rsid w:val="1B287C5C"/>
    <w:rsid w:val="1BEC41F5"/>
    <w:rsid w:val="1D992813"/>
    <w:rsid w:val="1DAA0E3E"/>
    <w:rsid w:val="1E742A13"/>
    <w:rsid w:val="1E8563FC"/>
    <w:rsid w:val="1E860E96"/>
    <w:rsid w:val="1F3259C6"/>
    <w:rsid w:val="1F643E9E"/>
    <w:rsid w:val="21793149"/>
    <w:rsid w:val="217E0DA2"/>
    <w:rsid w:val="21B30864"/>
    <w:rsid w:val="21D74401"/>
    <w:rsid w:val="220D79D5"/>
    <w:rsid w:val="2277734E"/>
    <w:rsid w:val="228D1920"/>
    <w:rsid w:val="235F1C43"/>
    <w:rsid w:val="246E51C2"/>
    <w:rsid w:val="251F2C93"/>
    <w:rsid w:val="25930AA1"/>
    <w:rsid w:val="25B77F28"/>
    <w:rsid w:val="261C2711"/>
    <w:rsid w:val="2629371B"/>
    <w:rsid w:val="26333F5B"/>
    <w:rsid w:val="264C63DC"/>
    <w:rsid w:val="27927955"/>
    <w:rsid w:val="27DF6D5B"/>
    <w:rsid w:val="28A50490"/>
    <w:rsid w:val="290416FB"/>
    <w:rsid w:val="2A8E570B"/>
    <w:rsid w:val="2AA44376"/>
    <w:rsid w:val="2B454D2A"/>
    <w:rsid w:val="2B5A4C61"/>
    <w:rsid w:val="2B892A8E"/>
    <w:rsid w:val="2BEC4909"/>
    <w:rsid w:val="2DA85F50"/>
    <w:rsid w:val="2DE85F13"/>
    <w:rsid w:val="2E0E42AB"/>
    <w:rsid w:val="2E727497"/>
    <w:rsid w:val="2EC823DC"/>
    <w:rsid w:val="2FC339E9"/>
    <w:rsid w:val="31140AC3"/>
    <w:rsid w:val="315B3926"/>
    <w:rsid w:val="317438B8"/>
    <w:rsid w:val="31C439B0"/>
    <w:rsid w:val="31D3618D"/>
    <w:rsid w:val="31E47D3B"/>
    <w:rsid w:val="31F61C3D"/>
    <w:rsid w:val="330A7AD7"/>
    <w:rsid w:val="334140DE"/>
    <w:rsid w:val="33937C59"/>
    <w:rsid w:val="33CC3E98"/>
    <w:rsid w:val="34D7709C"/>
    <w:rsid w:val="34DD613F"/>
    <w:rsid w:val="3536679E"/>
    <w:rsid w:val="36335DA3"/>
    <w:rsid w:val="3678062E"/>
    <w:rsid w:val="36FB7479"/>
    <w:rsid w:val="37FD68A6"/>
    <w:rsid w:val="393B4C3B"/>
    <w:rsid w:val="393E494F"/>
    <w:rsid w:val="3982447C"/>
    <w:rsid w:val="39851AEA"/>
    <w:rsid w:val="399A2EB5"/>
    <w:rsid w:val="3B9F7077"/>
    <w:rsid w:val="3BFBE9DD"/>
    <w:rsid w:val="3C0B33E8"/>
    <w:rsid w:val="3C491AF5"/>
    <w:rsid w:val="3CB16EAA"/>
    <w:rsid w:val="3D1B42E3"/>
    <w:rsid w:val="3D8D3BBB"/>
    <w:rsid w:val="3DB85996"/>
    <w:rsid w:val="3DFB9E8A"/>
    <w:rsid w:val="3E053D44"/>
    <w:rsid w:val="3E402F1B"/>
    <w:rsid w:val="3E6B05F3"/>
    <w:rsid w:val="3E6DB9E0"/>
    <w:rsid w:val="3ECB1DCB"/>
    <w:rsid w:val="3F8C5D8F"/>
    <w:rsid w:val="3FB554E3"/>
    <w:rsid w:val="3FFDA9E2"/>
    <w:rsid w:val="419A35AC"/>
    <w:rsid w:val="41BA15F9"/>
    <w:rsid w:val="420A2FF8"/>
    <w:rsid w:val="42195A6A"/>
    <w:rsid w:val="42305D37"/>
    <w:rsid w:val="423E4456"/>
    <w:rsid w:val="42FD34AD"/>
    <w:rsid w:val="43AE49AE"/>
    <w:rsid w:val="449B45DA"/>
    <w:rsid w:val="44A4730E"/>
    <w:rsid w:val="44F21C4B"/>
    <w:rsid w:val="45AD6951"/>
    <w:rsid w:val="463C00DC"/>
    <w:rsid w:val="46964440"/>
    <w:rsid w:val="47221287"/>
    <w:rsid w:val="47845592"/>
    <w:rsid w:val="483B3434"/>
    <w:rsid w:val="485477BF"/>
    <w:rsid w:val="485D46A3"/>
    <w:rsid w:val="48B431C7"/>
    <w:rsid w:val="48C10798"/>
    <w:rsid w:val="48E249BB"/>
    <w:rsid w:val="48E41E9D"/>
    <w:rsid w:val="49A0744E"/>
    <w:rsid w:val="4A13595D"/>
    <w:rsid w:val="4AE83298"/>
    <w:rsid w:val="4B106CD2"/>
    <w:rsid w:val="4C804ECE"/>
    <w:rsid w:val="4C895B69"/>
    <w:rsid w:val="4D7A256B"/>
    <w:rsid w:val="4E8945D0"/>
    <w:rsid w:val="4EA51583"/>
    <w:rsid w:val="4F016F2E"/>
    <w:rsid w:val="4F9E2FE4"/>
    <w:rsid w:val="5015592D"/>
    <w:rsid w:val="502925FF"/>
    <w:rsid w:val="50C54397"/>
    <w:rsid w:val="50D413E4"/>
    <w:rsid w:val="517F3AB5"/>
    <w:rsid w:val="51872AF4"/>
    <w:rsid w:val="51A96376"/>
    <w:rsid w:val="51DD250C"/>
    <w:rsid w:val="51F37B94"/>
    <w:rsid w:val="51FF48CF"/>
    <w:rsid w:val="5261193E"/>
    <w:rsid w:val="52B31C66"/>
    <w:rsid w:val="53333171"/>
    <w:rsid w:val="53334AA9"/>
    <w:rsid w:val="537F0991"/>
    <w:rsid w:val="541A1764"/>
    <w:rsid w:val="541A70D3"/>
    <w:rsid w:val="549A53C8"/>
    <w:rsid w:val="55EA59D7"/>
    <w:rsid w:val="56112734"/>
    <w:rsid w:val="56266096"/>
    <w:rsid w:val="562D4626"/>
    <w:rsid w:val="567E48CA"/>
    <w:rsid w:val="56F00E14"/>
    <w:rsid w:val="5750757E"/>
    <w:rsid w:val="57997CF2"/>
    <w:rsid w:val="581A10A7"/>
    <w:rsid w:val="585F254A"/>
    <w:rsid w:val="59465D4C"/>
    <w:rsid w:val="59A10B54"/>
    <w:rsid w:val="5A9211A0"/>
    <w:rsid w:val="5ADD6D22"/>
    <w:rsid w:val="5BB400A8"/>
    <w:rsid w:val="5BF87ACE"/>
    <w:rsid w:val="5C026973"/>
    <w:rsid w:val="5CE11D93"/>
    <w:rsid w:val="5D1A2FE5"/>
    <w:rsid w:val="5D8F6D1E"/>
    <w:rsid w:val="5DB84FA9"/>
    <w:rsid w:val="5DFBB8A9"/>
    <w:rsid w:val="5E0A1E6D"/>
    <w:rsid w:val="5E2A6CFE"/>
    <w:rsid w:val="5E826290"/>
    <w:rsid w:val="5F9A6485"/>
    <w:rsid w:val="6098238E"/>
    <w:rsid w:val="619F7DE0"/>
    <w:rsid w:val="61C13103"/>
    <w:rsid w:val="61F11BB7"/>
    <w:rsid w:val="628A6975"/>
    <w:rsid w:val="62F9157D"/>
    <w:rsid w:val="63A519FA"/>
    <w:rsid w:val="63C42AC6"/>
    <w:rsid w:val="64184EA5"/>
    <w:rsid w:val="64EB5531"/>
    <w:rsid w:val="661F34CF"/>
    <w:rsid w:val="668D04BB"/>
    <w:rsid w:val="67777536"/>
    <w:rsid w:val="68297EB5"/>
    <w:rsid w:val="686A0B4A"/>
    <w:rsid w:val="68CD0632"/>
    <w:rsid w:val="6A68020F"/>
    <w:rsid w:val="6B622B93"/>
    <w:rsid w:val="6CBE07C5"/>
    <w:rsid w:val="6CD80DA2"/>
    <w:rsid w:val="6CE124F8"/>
    <w:rsid w:val="6DB45008"/>
    <w:rsid w:val="6F2605FE"/>
    <w:rsid w:val="6F4020DE"/>
    <w:rsid w:val="6FF3011B"/>
    <w:rsid w:val="6FFEDC89"/>
    <w:rsid w:val="706E47D2"/>
    <w:rsid w:val="71B60E95"/>
    <w:rsid w:val="71F065BA"/>
    <w:rsid w:val="71F78021"/>
    <w:rsid w:val="720B3587"/>
    <w:rsid w:val="729829D6"/>
    <w:rsid w:val="73067FA2"/>
    <w:rsid w:val="734D635D"/>
    <w:rsid w:val="735D6A13"/>
    <w:rsid w:val="73935D89"/>
    <w:rsid w:val="73C20023"/>
    <w:rsid w:val="73C90575"/>
    <w:rsid w:val="74235FBB"/>
    <w:rsid w:val="7458541A"/>
    <w:rsid w:val="7479752E"/>
    <w:rsid w:val="747B5FDA"/>
    <w:rsid w:val="748618C1"/>
    <w:rsid w:val="74A26258"/>
    <w:rsid w:val="74CD0A03"/>
    <w:rsid w:val="753FB3D7"/>
    <w:rsid w:val="75C173E7"/>
    <w:rsid w:val="75F63195"/>
    <w:rsid w:val="76A77C9C"/>
    <w:rsid w:val="76D4578A"/>
    <w:rsid w:val="770574A0"/>
    <w:rsid w:val="77455BC1"/>
    <w:rsid w:val="77BD31CC"/>
    <w:rsid w:val="77DF0639"/>
    <w:rsid w:val="77FE8FAC"/>
    <w:rsid w:val="78241FCC"/>
    <w:rsid w:val="787E122A"/>
    <w:rsid w:val="78B56081"/>
    <w:rsid w:val="7A134250"/>
    <w:rsid w:val="7A4D29BF"/>
    <w:rsid w:val="7B7405E7"/>
    <w:rsid w:val="7B8739E8"/>
    <w:rsid w:val="7C3E25F6"/>
    <w:rsid w:val="7C4F638F"/>
    <w:rsid w:val="7D123060"/>
    <w:rsid w:val="7DFF9BBF"/>
    <w:rsid w:val="7E2350C7"/>
    <w:rsid w:val="7E6C59D9"/>
    <w:rsid w:val="7EBB5053"/>
    <w:rsid w:val="7FBB508F"/>
    <w:rsid w:val="7FD231E4"/>
    <w:rsid w:val="AB8FC51D"/>
    <w:rsid w:val="B7FC8A41"/>
    <w:rsid w:val="DFF779CE"/>
    <w:rsid w:val="E7C1DF74"/>
    <w:rsid w:val="F3FD98E3"/>
    <w:rsid w:val="F7F540C0"/>
    <w:rsid w:val="FDFF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样式 样式 样式 四号 左侧:  1.53 厘米 + 首行缩进:  2 字符 + 居中 左侧:  2 字符 首行缩进:  2..."/>
    <w:basedOn w:val="12"/>
    <w:qFormat/>
    <w:uiPriority w:val="0"/>
    <w:pPr>
      <w:snapToGrid w:val="0"/>
      <w:spacing w:line="500" w:lineRule="exact"/>
      <w:jc w:val="center"/>
    </w:pPr>
    <w:rPr>
      <w:rFonts w:ascii="Times New Roman" w:hAnsi="Times New Roman"/>
    </w:rPr>
  </w:style>
  <w:style w:type="paragraph" w:customStyle="1" w:styleId="12">
    <w:name w:val="样式 样式 四号 左侧:  1.53 厘米 + 首行缩进:  2 字符"/>
    <w:basedOn w:val="13"/>
    <w:qFormat/>
    <w:uiPriority w:val="0"/>
    <w:pPr>
      <w:ind w:left="200" w:leftChars="200"/>
    </w:pPr>
    <w:rPr>
      <w:szCs w:val="20"/>
    </w:rPr>
  </w:style>
  <w:style w:type="paragraph" w:customStyle="1" w:styleId="13">
    <w:name w:val="样式 四号 左侧:  1.53 厘米"/>
    <w:basedOn w:val="1"/>
    <w:qFormat/>
    <w:uiPriority w:val="0"/>
    <w:pPr>
      <w:adjustRightInd w:val="0"/>
    </w:pPr>
    <w:rPr>
      <w:rFonts w:ascii="华康简仿宋" w:hAnsi="华康简仿宋" w:eastAsia="华文中宋" w:cs="华康简仿宋"/>
      <w:w w:val="90"/>
      <w:sz w:val="28"/>
      <w:szCs w:val="28"/>
    </w:rPr>
  </w:style>
  <w:style w:type="character" w:customStyle="1" w:styleId="14">
    <w:name w:val="页脚 Char"/>
    <w:basedOn w:val="8"/>
    <w:link w:val="5"/>
    <w:qFormat/>
    <w:uiPriority w:val="0"/>
    <w:rPr>
      <w:kern w:val="2"/>
      <w:sz w:val="18"/>
      <w:szCs w:val="18"/>
    </w:rPr>
  </w:style>
  <w:style w:type="character" w:customStyle="1" w:styleId="15">
    <w:name w:val="页眉 Char"/>
    <w:basedOn w:val="8"/>
    <w:link w:val="6"/>
    <w:qFormat/>
    <w:uiPriority w:val="0"/>
    <w:rPr>
      <w:kern w:val="2"/>
      <w:sz w:val="18"/>
      <w:szCs w:val="18"/>
    </w:rPr>
  </w:style>
  <w:style w:type="paragraph" w:customStyle="1" w:styleId="16">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Words>
  <Characters>39</Characters>
  <Lines>1</Lines>
  <Paragraphs>1</Paragraphs>
  <TotalTime>1</TotalTime>
  <ScaleCrop>false</ScaleCrop>
  <LinksUpToDate>false</LinksUpToDate>
  <CharactersWithSpaces>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2020-01-22T06:59:00Z</cp:lastPrinted>
  <dcterms:modified xsi:type="dcterms:W3CDTF">2024-12-31T02:47:25Z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3B557C2A88BC4209BBDF49C93F4E822E_13</vt:lpwstr>
  </property>
</Properties>
</file>