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44"/>
          <w:szCs w:val="44"/>
        </w:rPr>
      </w:pPr>
    </w:p>
    <w:p>
      <w:pPr>
        <w:rPr>
          <w:rFonts w:hint="eastAsia" w:ascii="仿宋_GB2312" w:eastAsia="仿宋_GB2312"/>
          <w:sz w:val="44"/>
          <w:szCs w:val="44"/>
          <w:highlight w:val="yellow"/>
          <w:lang w:val="en-US" w:eastAsia="zh-CN"/>
        </w:rPr>
      </w:pPr>
    </w:p>
    <w:p>
      <w:pPr>
        <w:rPr>
          <w:rFonts w:ascii="仿宋_GB2312" w:eastAsia="仿宋_GB2312"/>
          <w:sz w:val="44"/>
          <w:szCs w:val="44"/>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294</w:t>
      </w:r>
      <w:r>
        <w:rPr>
          <w:rFonts w:hint="default" w:ascii="Times New Roman" w:hAnsi="Times New Roman" w:eastAsia="仿宋_GB2312" w:cs="Times New Roman"/>
          <w:sz w:val="32"/>
          <w:szCs w:val="32"/>
        </w:rPr>
        <w:t>号</w:t>
      </w:r>
    </w:p>
    <w:bookmarkEnd w:id="0"/>
    <w:p>
      <w:pPr>
        <w:rPr>
          <w:rFonts w:ascii="仿宋_GB2312" w:eastAsia="仿宋_GB2312"/>
          <w:sz w:val="32"/>
          <w:szCs w:val="32"/>
        </w:rPr>
      </w:pP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411</w:t>
      </w:r>
      <w:r>
        <w:rPr>
          <w:rFonts w:hint="eastAsia" w:ascii="Times New Roman" w:hAnsi="Times New Roman" w:eastAsia="仿宋_GB2312" w:cs="Times New Roman"/>
          <w:kern w:val="2"/>
          <w:sz w:val="32"/>
          <w:szCs w:val="32"/>
          <w:highlight w:val="none"/>
          <w:lang w:val="en-US" w:eastAsia="zh-CN" w:bidi="ar-SA"/>
        </w:rPr>
        <w:t>-120116-</w:t>
      </w:r>
      <w:r>
        <w:rPr>
          <w:rFonts w:hint="eastAsia" w:eastAsia="仿宋_GB2312" w:cs="Times New Roman"/>
          <w:kern w:val="2"/>
          <w:sz w:val="32"/>
          <w:szCs w:val="32"/>
          <w:highlight w:val="none"/>
          <w:lang w:val="en-US" w:eastAsia="zh-CN" w:bidi="ar-SA"/>
        </w:rPr>
        <w:t>89</w:t>
      </w:r>
      <w:r>
        <w:rPr>
          <w:rFonts w:hint="eastAsia" w:ascii="Times New Roman" w:hAnsi="Times New Roman" w:eastAsia="仿宋_GB2312" w:cs="Times New Roman"/>
          <w:kern w:val="2"/>
          <w:sz w:val="32"/>
          <w:szCs w:val="32"/>
          <w:highlight w:val="none"/>
          <w:lang w:val="en-US" w:eastAsia="zh-CN" w:bidi="ar-SA"/>
        </w:rPr>
        <w:t>-0</w:t>
      </w:r>
      <w:r>
        <w:rPr>
          <w:rFonts w:hint="eastAsia"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722431</w:t>
      </w:r>
      <w:r>
        <w:rPr>
          <w:rFonts w:hint="eastAsia" w:ascii="Times New Roman" w:hAnsi="Times New Roman" w:eastAsia="仿宋_GB2312" w:cs="Times New Roman"/>
          <w:kern w:val="2"/>
          <w:sz w:val="32"/>
          <w:szCs w:val="32"/>
          <w:lang w:val="en-US" w:eastAsia="zh-CN" w:bidi="ar-SA"/>
        </w:rPr>
        <w:t>）</w:t>
      </w: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eastAsia="zh-CN"/>
        </w:rPr>
        <w:t>天津华电南疆200MW</w:t>
      </w:r>
      <w:r>
        <w:rPr>
          <w:rFonts w:hint="eastAsia" w:ascii="方正小标宋简体" w:hAnsi="宋体" w:eastAsia="方正小标宋简体"/>
          <w:color w:val="000000"/>
          <w:sz w:val="44"/>
          <w:lang w:val="en-US" w:eastAsia="zh-CN"/>
        </w:rPr>
        <w:t>/</w:t>
      </w:r>
      <w:r>
        <w:rPr>
          <w:rFonts w:hint="eastAsia" w:ascii="方正小标宋简体" w:hAnsi="宋体" w:eastAsia="方正小标宋简体"/>
          <w:color w:val="000000"/>
          <w:sz w:val="44"/>
          <w:lang w:eastAsia="zh-CN"/>
        </w:rPr>
        <w:t>400MWh共享</w:t>
      </w: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ascii="方正小标宋简体" w:hAnsi="宋体" w:eastAsia="方正小标宋简体"/>
          <w:color w:val="000000"/>
          <w:sz w:val="44"/>
        </w:rPr>
      </w:pPr>
      <w:r>
        <w:rPr>
          <w:rFonts w:hint="eastAsia" w:ascii="方正小标宋简体" w:hAnsi="宋体" w:eastAsia="方正小标宋简体"/>
          <w:color w:val="000000"/>
          <w:sz w:val="44"/>
          <w:lang w:eastAsia="zh-CN"/>
        </w:rPr>
        <w:t>储能项目（升压站）</w:t>
      </w:r>
      <w:r>
        <w:rPr>
          <w:rFonts w:ascii="方正小标宋简体" w:hAnsi="宋体" w:eastAsia="方正小标宋简体"/>
          <w:color w:val="000000"/>
          <w:sz w:val="44"/>
        </w:rPr>
        <w:t>环境影响报告表的批复</w:t>
      </w:r>
    </w:p>
    <w:p>
      <w:pPr>
        <w:pStyle w:val="2"/>
      </w:pP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天津华电新能源科技有限公司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关于报批天津华电南疆200MW</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400MWh共享储能项目（升压站）环境影响报告表的申请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中环广源环境工程技术有限公司编制的</w:t>
      </w:r>
      <w:r>
        <w:rPr>
          <w:rFonts w:hint="default" w:ascii="Times New Roman" w:hAnsi="Times New Roman" w:eastAsia="仿宋_GB2312" w:cs="Times New Roman"/>
          <w:sz w:val="32"/>
          <w:szCs w:val="32"/>
          <w:lang w:val="en-US" w:eastAsia="zh-CN"/>
        </w:rPr>
        <w:t>《天津华电南疆200MW/400MWh共享储能项目（升压站）环境影</w:t>
      </w:r>
      <w:r>
        <w:rPr>
          <w:rFonts w:hint="default" w:ascii="Times New Roman" w:hAnsi="Times New Roman" w:eastAsia="仿宋_GB2312" w:cs="Times New Roman"/>
          <w:sz w:val="32"/>
          <w:szCs w:val="32"/>
        </w:rPr>
        <w:t>响报告表》</w:t>
      </w:r>
      <w:r>
        <w:rPr>
          <w:rFonts w:hint="eastAsia" w:ascii="Times New Roman" w:hAnsi="Times New Roman"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w:t>
      </w:r>
      <w:r>
        <w:rPr>
          <w:rFonts w:hint="eastAsia" w:eastAsia="仿宋_GB2312" w:cs="Times New Roman"/>
          <w:sz w:val="32"/>
          <w:szCs w:val="32"/>
          <w:lang w:eastAsia="zh-CN"/>
        </w:rPr>
        <w:t>拟</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滨海新区港塘公路2657号</w:t>
      </w:r>
      <w:r>
        <w:rPr>
          <w:rFonts w:hint="eastAsia" w:eastAsia="仿宋_GB2312"/>
          <w:bCs/>
          <w:sz w:val="32"/>
          <w:szCs w:val="32"/>
        </w:rPr>
        <w:t>建设</w:t>
      </w:r>
      <w:r>
        <w:rPr>
          <w:rFonts w:hint="eastAsia" w:eastAsia="仿宋_GB2312" w:cs="Times New Roman"/>
          <w:sz w:val="32"/>
          <w:szCs w:val="32"/>
          <w:lang w:val="en" w:eastAsia="zh-CN"/>
        </w:rPr>
        <w:t>“天津华电南疆200MW/400MWh共享储能项目（升压站）”（以下简称“项目”），建设内容主要包括新建</w:t>
      </w:r>
      <w:r>
        <w:rPr>
          <w:rFonts w:hint="eastAsia" w:eastAsia="仿宋_GB2312" w:cs="Times New Roman"/>
          <w:sz w:val="32"/>
          <w:szCs w:val="32"/>
          <w:lang w:val="en-US" w:eastAsia="zh-CN"/>
        </w:rPr>
        <w:t>1座</w:t>
      </w:r>
      <w:r>
        <w:rPr>
          <w:rFonts w:hint="eastAsia" w:eastAsia="仿宋_GB2312" w:cs="Times New Roman"/>
          <w:sz w:val="32"/>
          <w:szCs w:val="32"/>
          <w:lang w:val="en" w:eastAsia="zh-CN"/>
        </w:rPr>
        <w:t>主变容量为</w:t>
      </w:r>
      <w:r>
        <w:rPr>
          <w:rFonts w:hint="eastAsia" w:eastAsia="仿宋_GB2312" w:cs="Times New Roman"/>
          <w:sz w:val="32"/>
          <w:szCs w:val="32"/>
          <w:lang w:val="en-US" w:eastAsia="zh-CN"/>
        </w:rPr>
        <w:t>240MVA的220</w:t>
      </w:r>
      <w:r>
        <w:rPr>
          <w:rFonts w:hint="eastAsia" w:eastAsia="仿宋_GB2312" w:cs="Times New Roman"/>
          <w:sz w:val="32"/>
          <w:szCs w:val="32"/>
          <w:lang w:val="en" w:eastAsia="zh-CN"/>
        </w:rPr>
        <w:t>kV升压站</w:t>
      </w:r>
      <w:r>
        <w:rPr>
          <w:rFonts w:hint="eastAsia" w:eastAsia="仿宋_GB2312" w:cs="Times New Roman"/>
          <w:sz w:val="32"/>
          <w:szCs w:val="32"/>
          <w:lang w:val="en-US" w:eastAsia="zh-CN"/>
        </w:rPr>
        <w:t>（电压等级为220/35kV）</w:t>
      </w:r>
      <w:r>
        <w:rPr>
          <w:rFonts w:hint="eastAsia" w:eastAsia="仿宋_GB2312" w:cs="Times New Roman"/>
          <w:sz w:val="32"/>
          <w:szCs w:val="32"/>
          <w:lang w:val="en" w:eastAsia="zh-CN"/>
        </w:rPr>
        <w:t>，采用户外布置，占地面积为</w:t>
      </w:r>
      <w:r>
        <w:rPr>
          <w:rFonts w:hint="eastAsia" w:eastAsia="仿宋_GB2312" w:cs="Times New Roman"/>
          <w:sz w:val="32"/>
          <w:szCs w:val="32"/>
          <w:lang w:val="en-US" w:eastAsia="zh-CN"/>
        </w:rPr>
        <w:t>3212.48m</w:t>
      </w:r>
      <w:r>
        <w:rPr>
          <w:rFonts w:hint="default" w:ascii="Times New Roman" w:hAnsi="Times New Roman" w:eastAsia="仿宋_GB2312" w:cs="Times New Roman"/>
          <w:sz w:val="32"/>
          <w:szCs w:val="32"/>
          <w:lang w:val="en-US" w:eastAsia="zh-CN"/>
        </w:rPr>
        <w:t>²</w:t>
      </w:r>
      <w:r>
        <w:rPr>
          <w:rFonts w:hint="eastAsia" w:eastAsia="仿宋_GB2312"/>
          <w:bCs/>
          <w:sz w:val="32"/>
          <w:szCs w:val="32"/>
          <w:lang w:val="en-US" w:eastAsia="zh-CN"/>
        </w:rPr>
        <w:t>。本项目不涉及配套进出线</w:t>
      </w:r>
      <w:r>
        <w:rPr>
          <w:rFonts w:hint="eastAsia" w:eastAsia="仿宋_GB2312"/>
          <w:bCs/>
          <w:sz w:val="32"/>
          <w:szCs w:val="32"/>
          <w:lang w:eastAsia="zh-CN"/>
        </w:rPr>
        <w:t>工程，单独履行环评手续。项目</w:t>
      </w:r>
      <w:r>
        <w:rPr>
          <w:rFonts w:hint="default" w:eastAsia="仿宋_GB2312"/>
          <w:bCs/>
          <w:sz w:val="32"/>
          <w:szCs w:val="32"/>
        </w:rPr>
        <w:t>总投资为</w:t>
      </w:r>
      <w:r>
        <w:rPr>
          <w:rFonts w:hint="eastAsia" w:eastAsia="仿宋_GB2312"/>
          <w:bCs/>
          <w:sz w:val="32"/>
          <w:szCs w:val="32"/>
          <w:lang w:val="en-US" w:eastAsia="zh-CN"/>
        </w:rPr>
        <w:t>3600</w:t>
      </w:r>
      <w:r>
        <w:rPr>
          <w:rFonts w:hint="default" w:eastAsia="仿宋_GB2312"/>
          <w:bCs/>
          <w:sz w:val="32"/>
          <w:szCs w:val="32"/>
        </w:rPr>
        <w:t>万元，环保投资</w:t>
      </w:r>
      <w:r>
        <w:rPr>
          <w:rFonts w:hint="eastAsia" w:eastAsia="仿宋_GB2312"/>
          <w:bCs/>
          <w:sz w:val="32"/>
          <w:szCs w:val="32"/>
          <w:lang w:val="en-US" w:eastAsia="zh-CN"/>
        </w:rPr>
        <w:t>155</w:t>
      </w:r>
      <w:r>
        <w:rPr>
          <w:rFonts w:hint="default" w:eastAsia="仿宋_GB2312"/>
          <w:bCs/>
          <w:sz w:val="32"/>
          <w:szCs w:val="32"/>
        </w:rPr>
        <w:t>万元，约占总投资的</w:t>
      </w:r>
      <w:r>
        <w:rPr>
          <w:rFonts w:hint="eastAsia" w:eastAsia="仿宋_GB2312" w:cs="Times New Roman"/>
          <w:sz w:val="32"/>
          <w:szCs w:val="32"/>
          <w:lang w:val="en-US" w:eastAsia="zh-CN"/>
        </w:rPr>
        <w:t>4.31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日，我局将该项目</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将该项目</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该项目具备环境可行性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w:t>
      </w:r>
      <w:r>
        <w:rPr>
          <w:rFonts w:hint="eastAsia" w:eastAsia="仿宋_GB2312" w:cs="Times New Roman"/>
          <w:sz w:val="32"/>
          <w:szCs w:val="32"/>
          <w:lang w:eastAsia="zh-CN"/>
        </w:rPr>
        <w:t>建设和</w:t>
      </w:r>
      <w:r>
        <w:rPr>
          <w:rFonts w:hint="default" w:ascii="Times New Roman" w:hAnsi="Times New Roman" w:eastAsia="仿宋_GB2312" w:cs="Times New Roman"/>
          <w:sz w:val="32"/>
          <w:szCs w:val="32"/>
        </w:rPr>
        <w:t>运营期间，你公司应重点做好以下工作：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施工期间应严格执行国家相关环保法律法规和落实环评报告中提出的污染防范措施：做到合法施工，文明生产，减少扬尘污染；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default" w:ascii="Times New Roman" w:hAnsi="Times New Roman" w:eastAsia="仿宋_GB2312" w:cs="Times New Roman"/>
          <w:sz w:val="32"/>
          <w:szCs w:val="32"/>
        </w:rPr>
        <w:t>施工场地固体垃圾应及时清运；合理安排施工时间和施工区域，加强对高噪声机械的管理。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施工过程中要采取全面的生态保护和水土保持措施</w:t>
      </w:r>
      <w:r>
        <w:rPr>
          <w:rFonts w:hint="default" w:ascii="Times New Roman" w:hAnsi="Times New Roman" w:eastAsia="仿宋_GB2312" w:cs="Times New Roman"/>
          <w:sz w:val="32"/>
          <w:szCs w:val="32"/>
          <w:lang w:eastAsia="zh-CN"/>
        </w:rPr>
        <w:t>；严格控制用地边界，并及时做好生态恢复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选用低噪声设备，厂界噪声</w:t>
      </w:r>
      <w:r>
        <w:rPr>
          <w:rFonts w:hint="eastAsia" w:ascii="Times New Roman" w:hAnsi="Times New Roman" w:eastAsia="仿宋_GB2312" w:cs="Times New Roman"/>
          <w:sz w:val="32"/>
          <w:szCs w:val="32"/>
          <w:lang w:val="en-US" w:eastAsia="zh-CN"/>
        </w:rPr>
        <w:t>排放达标。</w:t>
      </w:r>
    </w:p>
    <w:p>
      <w:pPr>
        <w:pStyle w:val="2"/>
        <w:pageBreakBefore w:val="0"/>
        <w:widowControl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highlight w:val="none"/>
          <w:lang w:val="en-US" w:eastAsia="zh-CN"/>
        </w:rPr>
        <w:t>升压</w:t>
      </w:r>
      <w:r>
        <w:rPr>
          <w:rFonts w:hint="eastAsia" w:eastAsia="仿宋_GB2312" w:cs="Times New Roman"/>
          <w:sz w:val="32"/>
          <w:szCs w:val="32"/>
          <w:highlight w:val="none"/>
          <w:lang w:eastAsia="zh-CN"/>
        </w:rPr>
        <w:t>站无人值守，无生活污水产生和排放</w:t>
      </w:r>
      <w:r>
        <w:rPr>
          <w:rFonts w:hint="eastAsia"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30"/>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做好各类固体废物的收集、贮存、运输和处置，做到资源化、减量化、无害化。</w:t>
      </w:r>
      <w:r>
        <w:rPr>
          <w:rFonts w:hint="eastAsia" w:eastAsia="仿宋_GB2312" w:cs="Times New Roman"/>
          <w:sz w:val="32"/>
          <w:szCs w:val="32"/>
          <w:lang w:eastAsia="zh-CN"/>
        </w:rPr>
        <w:t>变压器下方设置的事故排油坑内若有废油产生，可经集油坑内管道进入事故池暂存，</w:t>
      </w:r>
      <w:r>
        <w:rPr>
          <w:rFonts w:hint="eastAsia" w:eastAsia="仿宋_GB2312" w:cs="Times New Roman"/>
          <w:sz w:val="32"/>
          <w:szCs w:val="32"/>
          <w:lang w:val="en-US" w:eastAsia="zh-CN"/>
        </w:rPr>
        <w:t>交由有资质单位处置，池容量应满足收纳变压器的事故漏油量，不在现场存放，做到“即产即清”。</w:t>
      </w:r>
      <w:r>
        <w:rPr>
          <w:rFonts w:hint="eastAsia" w:eastAsia="仿宋_GB2312" w:cs="Times New Roman"/>
          <w:sz w:val="32"/>
          <w:szCs w:val="32"/>
          <w:lang w:eastAsia="zh-CN"/>
        </w:rPr>
        <w:t>更换下来的</w:t>
      </w:r>
      <w:r>
        <w:rPr>
          <w:rFonts w:hint="eastAsia" w:eastAsia="仿宋_GB2312" w:cs="Times New Roman"/>
          <w:sz w:val="32"/>
          <w:szCs w:val="32"/>
          <w:lang w:val="en-US" w:eastAsia="zh-CN"/>
        </w:rPr>
        <w:t>废铅酸电池（用于</w:t>
      </w:r>
      <w:r>
        <w:rPr>
          <w:rFonts w:hint="eastAsia" w:eastAsia="仿宋_GB2312" w:cs="Times New Roman"/>
          <w:sz w:val="32"/>
          <w:szCs w:val="32"/>
          <w:lang w:eastAsia="zh-CN"/>
        </w:rPr>
        <w:t>备用电源</w:t>
      </w:r>
      <w:r>
        <w:rPr>
          <w:rFonts w:hint="eastAsia" w:eastAsia="仿宋_GB2312" w:cs="Times New Roman"/>
          <w:sz w:val="32"/>
          <w:szCs w:val="32"/>
          <w:lang w:val="en-US" w:eastAsia="zh-CN"/>
        </w:rPr>
        <w:t xml:space="preserve">）等危险废物存储在危险废物暂存库，危险废物暂存库应按《危险废物贮存污染控制标准》（GB18597-2023）进行建设和管理。危险废物须按照《危险废物收集 贮存 运输技术规范》（HJ2025-2012）进行收集、贮存及运输，并交由有相应资质的单位进行处理、处置；严格按照《工业危险废物产生单位规范化管理指标及抽查表》做好危险废物规范化管理工作。  </w:t>
      </w:r>
    </w:p>
    <w:p>
      <w:pPr>
        <w:keepNext w:val="0"/>
        <w:keepLines w:val="0"/>
        <w:pageBreakBefore w:val="0"/>
        <w:widowControl w:val="0"/>
        <w:kinsoku/>
        <w:wordWrap/>
        <w:overflowPunct/>
        <w:topLinePunct w:val="0"/>
        <w:autoSpaceDE/>
        <w:autoSpaceDN/>
        <w:bidi w:val="0"/>
        <w:adjustRightInd/>
        <w:snapToGrid/>
        <w:spacing w:line="360" w:lineRule="auto"/>
        <w:ind w:firstLine="630"/>
        <w:outlineLvl w:val="9"/>
        <w:rPr>
          <w:rFonts w:hint="default" w:ascii="Times New Roman" w:hAnsi="Times New Roman" w:eastAsia="仿宋_GB2312" w:cs="Times New Roman"/>
          <w:color w:val="auto"/>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eastAsia" w:eastAsia="仿宋_GB2312" w:cs="Times New Roman"/>
          <w:color w:val="auto"/>
          <w:sz w:val="32"/>
          <w:szCs w:val="32"/>
          <w:lang w:eastAsia="zh-CN"/>
        </w:rPr>
        <w:t>升压站外</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工频电场强度、工频磁感应强度符合《电磁环境控制限值》限值要求。</w:t>
      </w:r>
    </w:p>
    <w:p>
      <w:pPr>
        <w:pStyle w:val="2"/>
        <w:pageBreakBefore w:val="0"/>
        <w:widowControl w:val="0"/>
        <w:kinsoku/>
        <w:wordWrap/>
        <w:overflowPunct/>
        <w:topLinePunct w:val="0"/>
        <w:autoSpaceDE/>
        <w:autoSpaceDN/>
        <w:bidi w:val="0"/>
        <w:adjustRightInd/>
        <w:snapToGrid/>
        <w:spacing w:line="360" w:lineRule="auto"/>
        <w:ind w:firstLine="640" w:firstLineChars="200"/>
        <w:rPr>
          <w:rFonts w:hint="default" w:eastAsia="仿宋_GB2312"/>
          <w:lang w:val="en-US" w:eastAsia="zh-CN"/>
        </w:rPr>
      </w:pPr>
      <w:r>
        <w:rPr>
          <w:rFonts w:hint="eastAsia" w:eastAsia="仿宋_GB2312"/>
          <w:lang w:val="en-US" w:eastAsia="zh-CN"/>
        </w:rPr>
        <w:t>7.制订环境风险事故应急预案，并向区生态环境局备案；认真落实风险事故防范措施及应急处理措施，做好风险事故防范措施及应急处理措施的合理衔接工作，杜绝发生环境事故和次生环境事故。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三、该项目无新增污染物排放总量。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四、若项目的性质、规模地点、生产工艺或防治污染的措施发生重大变动，要重新报批环境影响评价文件。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、项目应执行以下</w:t>
      </w:r>
      <w:r>
        <w:rPr>
          <w:rFonts w:hint="eastAsia" w:eastAsia="仿宋_GB2312" w:cs="Times New Roman"/>
          <w:sz w:val="32"/>
          <w:szCs w:val="32"/>
          <w:lang w:eastAsia="zh-CN"/>
        </w:rPr>
        <w:t>排放</w:t>
      </w:r>
      <w:r>
        <w:rPr>
          <w:rFonts w:hint="default" w:ascii="Times New Roman" w:hAnsi="Times New Roman" w:eastAsia="仿宋_GB2312" w:cs="Times New Roman"/>
          <w:sz w:val="32"/>
          <w:szCs w:val="32"/>
        </w:rPr>
        <w:t>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《建筑施工场界环境噪声排放标准》（GB12523-2011）</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eastAsia="仿宋_GB2312"/>
          <w:lang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工业企业厂界环境噪声排放标准》</w:t>
      </w:r>
      <w:r>
        <w:rPr>
          <w:rFonts w:hint="eastAsia" w:ascii="Times New Roman" w:hAnsi="Times New Roman" w:eastAsia="仿宋_GB2312" w:cs="Times New Roman"/>
          <w:sz w:val="32"/>
          <w:szCs w:val="32"/>
        </w:rPr>
        <w:t>（GB12348-2008）</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《危险废物贮存污染控制标准》（GB18597-20</w:t>
      </w:r>
      <w:r>
        <w:rPr>
          <w:rFonts w:hint="eastAsia" w:ascii="Times New Roman" w:hAnsi="Times New Roman" w:eastAsia="仿宋_GB2312" w:cs="Times New Roman"/>
          <w:sz w:val="32"/>
          <w:szCs w:val="32"/>
          <w:lang w:val="en-US" w:eastAsia="zh-CN"/>
        </w:rPr>
        <w:t>23</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《危险废物收集 贮存 运输技术规范</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HJ2025-2012</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pPr>
        <w:pStyle w:val="2"/>
        <w:rPr>
          <w:rFonts w:hint="default"/>
        </w:rPr>
      </w:pPr>
    </w:p>
    <w:p>
      <w:pPr>
        <w:rPr>
          <w:rFonts w:hint="default"/>
        </w:rPr>
      </w:pPr>
    </w:p>
    <w:p>
      <w:pPr>
        <w:pStyle w:val="2"/>
        <w:rPr>
          <w:rFonts w:hint="default"/>
        </w:rPr>
      </w:pPr>
    </w:p>
    <w:p>
      <w:pPr>
        <w:wordWrap w:val="0"/>
        <w:ind w:firstLine="5120" w:firstLineChars="1600"/>
        <w:jc w:val="both"/>
        <w:rPr>
          <w:rFonts w:hint="eastAsia" w:eastAsia="仿宋_GB2312"/>
          <w:sz w:val="32"/>
          <w:lang w:val="en-US" w:eastAsia="zh-CN"/>
        </w:rPr>
      </w:pPr>
      <w:r>
        <w:rPr>
          <w:rFonts w:hint="eastAsia" w:eastAsia="仿宋_GB2312"/>
          <w:sz w:val="32"/>
          <w:lang w:val="en-US" w:eastAsia="zh-CN"/>
        </w:rPr>
        <w:t xml:space="preserve">2024年12月17日  </w:t>
      </w:r>
    </w:p>
    <w:p>
      <w:pPr>
        <w:pStyle w:val="2"/>
        <w:rPr>
          <w:rFonts w:hint="eastAsia" w:eastAsia="仿宋_GB2312"/>
          <w:sz w:val="32"/>
          <w:lang w:val="en-US" w:eastAsia="zh-CN"/>
        </w:rPr>
      </w:pPr>
    </w:p>
    <w:p>
      <w:pPr>
        <w:rPr>
          <w:rFonts w:hint="eastAsia" w:eastAsia="仿宋_GB2312"/>
          <w:sz w:val="32"/>
          <w:lang w:val="en-US" w:eastAsia="zh-CN"/>
        </w:rPr>
      </w:pPr>
    </w:p>
    <w:p>
      <w:pPr>
        <w:pStyle w:val="2"/>
        <w:rPr>
          <w:rFonts w:hint="eastAsia" w:eastAsia="仿宋_GB2312"/>
          <w:sz w:val="32"/>
          <w:lang w:val="en-US" w:eastAsia="zh-CN"/>
        </w:rPr>
      </w:pPr>
    </w:p>
    <w:p>
      <w:pPr>
        <w:rPr>
          <w:rFonts w:hint="eastAsia" w:eastAsia="仿宋_GB2312"/>
          <w:sz w:val="32"/>
          <w:lang w:val="en-US" w:eastAsia="zh-CN"/>
        </w:rPr>
      </w:pPr>
    </w:p>
    <w:p>
      <w:pPr>
        <w:pStyle w:val="2"/>
        <w:rPr>
          <w:rFonts w:hint="eastAsia"/>
          <w:lang w:val="en-US" w:eastAsia="zh-CN"/>
        </w:rPr>
      </w:pPr>
    </w:p>
    <w:p>
      <w:pPr>
        <w:pStyle w:val="2"/>
        <w:rPr>
          <w:rFonts w:hint="eastAsia" w:eastAsia="仿宋_GB2312"/>
          <w:sz w:val="32"/>
          <w:lang w:val="en-US" w:eastAsia="zh-CN"/>
        </w:rPr>
      </w:pPr>
    </w:p>
    <w:p>
      <w:pPr>
        <w:rPr>
          <w:rFonts w:hint="eastAsia"/>
          <w:lang w:val="en-US" w:eastAsia="zh-CN"/>
        </w:rPr>
      </w:pPr>
    </w:p>
    <w:p>
      <w:pPr>
        <w:rPr>
          <w:rFonts w:hint="eastAsia"/>
          <w:lang w:val="en-US" w:eastAsia="zh-CN"/>
        </w:rPr>
      </w:pPr>
    </w:p>
    <w:p>
      <w:pPr>
        <w:pStyle w:val="2"/>
        <w:wordWrap/>
        <w:rPr>
          <w:rFonts w:hint="eastAsia"/>
          <w:sz w:val="15"/>
          <w:szCs w:val="15"/>
          <w:lang w:val="en-US" w:eastAsia="zh-CN"/>
        </w:rPr>
      </w:pP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pPr>
        <w:jc w:val="both"/>
      </w:pPr>
      <w:r>
        <w:rPr>
          <w:rFonts w:hint="eastAsia" w:eastAsia="仿宋_GB2312"/>
          <w:sz w:val="28"/>
          <w:szCs w:val="28"/>
        </w:rPr>
        <w:t xml:space="preserve">天津市滨海新区行政审批局             </w:t>
      </w:r>
      <w:r>
        <w:rPr>
          <w:rFonts w:hint="eastAsia" w:eastAsia="仿宋_GB2312"/>
          <w:sz w:val="28"/>
          <w:szCs w:val="28"/>
          <w:lang w:val="en-US" w:eastAsia="zh-CN"/>
        </w:rPr>
        <w:t xml:space="preserve">    2024</w:t>
      </w:r>
      <w:r>
        <w:rPr>
          <w:rFonts w:eastAsia="仿宋_GB2312"/>
          <w:sz w:val="28"/>
          <w:szCs w:val="28"/>
        </w:rPr>
        <w:t>年</w:t>
      </w:r>
      <w:r>
        <w:rPr>
          <w:rFonts w:hint="eastAsia" w:eastAsia="仿宋_GB2312"/>
          <w:sz w:val="28"/>
          <w:szCs w:val="28"/>
          <w:lang w:val="en-US" w:eastAsia="zh-CN"/>
        </w:rPr>
        <w:t>12</w:t>
      </w:r>
      <w:r>
        <w:rPr>
          <w:rFonts w:eastAsia="仿宋_GB2312"/>
          <w:sz w:val="28"/>
          <w:szCs w:val="28"/>
        </w:rPr>
        <w:t>月</w:t>
      </w:r>
      <w:r>
        <w:rPr>
          <w:rFonts w:hint="eastAsia" w:eastAsia="仿宋_GB2312"/>
          <w:sz w:val="28"/>
          <w:szCs w:val="28"/>
          <w:lang w:val="en-US" w:eastAsia="zh-CN"/>
        </w:rPr>
        <w:t>17</w:t>
      </w:r>
      <w:r>
        <w:rPr>
          <w:rFonts w:eastAsia="仿宋_GB2312"/>
          <w:sz w:val="28"/>
          <w:szCs w:val="28"/>
        </w:rPr>
        <w:t>日印发</w:t>
      </w:r>
    </w:p>
    <w:sectPr>
      <w:footerReference r:id="rId3" w:type="default"/>
      <w:footerReference r:id="rId4" w:type="even"/>
      <w:pgSz w:w="11906" w:h="16838"/>
      <w:pgMar w:top="2007" w:right="1701" w:bottom="1440"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1" w:usb3="00000000" w:csb0="400001BF" w:csb1="DFF7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3ED782B"/>
    <w:rsid w:val="040E2881"/>
    <w:rsid w:val="07CF6683"/>
    <w:rsid w:val="08FF1D4E"/>
    <w:rsid w:val="09C20CD4"/>
    <w:rsid w:val="0A7C212E"/>
    <w:rsid w:val="0B6D14B7"/>
    <w:rsid w:val="0B70766A"/>
    <w:rsid w:val="0CE942B7"/>
    <w:rsid w:val="0D4545B5"/>
    <w:rsid w:val="0D5F3A7D"/>
    <w:rsid w:val="0DA11C36"/>
    <w:rsid w:val="0E485DB4"/>
    <w:rsid w:val="0EBD1B34"/>
    <w:rsid w:val="10335BBC"/>
    <w:rsid w:val="109E34A2"/>
    <w:rsid w:val="116D37CE"/>
    <w:rsid w:val="13AF213C"/>
    <w:rsid w:val="161C585F"/>
    <w:rsid w:val="171A2A55"/>
    <w:rsid w:val="18326D5D"/>
    <w:rsid w:val="195535DF"/>
    <w:rsid w:val="19CB339C"/>
    <w:rsid w:val="1A263A56"/>
    <w:rsid w:val="1CFB4AEA"/>
    <w:rsid w:val="1DE96BB7"/>
    <w:rsid w:val="1E3B441F"/>
    <w:rsid w:val="1E9437AE"/>
    <w:rsid w:val="1FC56661"/>
    <w:rsid w:val="20695154"/>
    <w:rsid w:val="20836690"/>
    <w:rsid w:val="2156336B"/>
    <w:rsid w:val="22610E50"/>
    <w:rsid w:val="229E7763"/>
    <w:rsid w:val="22A21F73"/>
    <w:rsid w:val="233667EF"/>
    <w:rsid w:val="23765463"/>
    <w:rsid w:val="25364456"/>
    <w:rsid w:val="25867C1B"/>
    <w:rsid w:val="265E70F3"/>
    <w:rsid w:val="26FA244B"/>
    <w:rsid w:val="272A30F3"/>
    <w:rsid w:val="27CF6B4F"/>
    <w:rsid w:val="27E736B9"/>
    <w:rsid w:val="280265C2"/>
    <w:rsid w:val="28CC03F4"/>
    <w:rsid w:val="2D5A2BCE"/>
    <w:rsid w:val="2E0641BD"/>
    <w:rsid w:val="2F063F34"/>
    <w:rsid w:val="2F44136D"/>
    <w:rsid w:val="2F5376D5"/>
    <w:rsid w:val="2F950E14"/>
    <w:rsid w:val="30262E18"/>
    <w:rsid w:val="30AB02AE"/>
    <w:rsid w:val="316A2E22"/>
    <w:rsid w:val="320B52AB"/>
    <w:rsid w:val="32622092"/>
    <w:rsid w:val="329A50BF"/>
    <w:rsid w:val="33633703"/>
    <w:rsid w:val="35533D0B"/>
    <w:rsid w:val="357B6D52"/>
    <w:rsid w:val="357D7D64"/>
    <w:rsid w:val="359A3760"/>
    <w:rsid w:val="3635775E"/>
    <w:rsid w:val="36BF48B4"/>
    <w:rsid w:val="36C51F7A"/>
    <w:rsid w:val="375F19FD"/>
    <w:rsid w:val="37EB048C"/>
    <w:rsid w:val="38165282"/>
    <w:rsid w:val="3853351F"/>
    <w:rsid w:val="385C19AE"/>
    <w:rsid w:val="387C74C2"/>
    <w:rsid w:val="38F64BB5"/>
    <w:rsid w:val="3982447C"/>
    <w:rsid w:val="399D5FE8"/>
    <w:rsid w:val="3A0C58CA"/>
    <w:rsid w:val="3B0D5BF6"/>
    <w:rsid w:val="3C5E4E5F"/>
    <w:rsid w:val="3D2E17ED"/>
    <w:rsid w:val="3DB37034"/>
    <w:rsid w:val="3E015AA4"/>
    <w:rsid w:val="3EFF249B"/>
    <w:rsid w:val="3F5D704E"/>
    <w:rsid w:val="3F9A2934"/>
    <w:rsid w:val="3FCC1206"/>
    <w:rsid w:val="3FD14EC6"/>
    <w:rsid w:val="41116DDD"/>
    <w:rsid w:val="42382433"/>
    <w:rsid w:val="44350CD7"/>
    <w:rsid w:val="445A69E2"/>
    <w:rsid w:val="44A333BF"/>
    <w:rsid w:val="44FB2731"/>
    <w:rsid w:val="454863EF"/>
    <w:rsid w:val="45D27CD9"/>
    <w:rsid w:val="46534CE5"/>
    <w:rsid w:val="46BF2397"/>
    <w:rsid w:val="47693F8F"/>
    <w:rsid w:val="47A430FB"/>
    <w:rsid w:val="480934B6"/>
    <w:rsid w:val="495C2C76"/>
    <w:rsid w:val="49EB0CD1"/>
    <w:rsid w:val="4AE43C50"/>
    <w:rsid w:val="4B106CD2"/>
    <w:rsid w:val="4D005CA5"/>
    <w:rsid w:val="4E057C31"/>
    <w:rsid w:val="4E33021C"/>
    <w:rsid w:val="4E9533B5"/>
    <w:rsid w:val="4EC837AE"/>
    <w:rsid w:val="4EF9701F"/>
    <w:rsid w:val="50EC705F"/>
    <w:rsid w:val="51E71902"/>
    <w:rsid w:val="53ED7747"/>
    <w:rsid w:val="55C20EA5"/>
    <w:rsid w:val="56D74065"/>
    <w:rsid w:val="58441FA5"/>
    <w:rsid w:val="59465D4C"/>
    <w:rsid w:val="59A82033"/>
    <w:rsid w:val="59EC4DD6"/>
    <w:rsid w:val="5ABC54F2"/>
    <w:rsid w:val="5CC23936"/>
    <w:rsid w:val="5D0F3DCC"/>
    <w:rsid w:val="5E604728"/>
    <w:rsid w:val="5F0E3CB8"/>
    <w:rsid w:val="5F943EF4"/>
    <w:rsid w:val="60317CD8"/>
    <w:rsid w:val="61C254B7"/>
    <w:rsid w:val="61FA1823"/>
    <w:rsid w:val="628A6975"/>
    <w:rsid w:val="62922D24"/>
    <w:rsid w:val="63DA1977"/>
    <w:rsid w:val="65EF76D2"/>
    <w:rsid w:val="67D704DA"/>
    <w:rsid w:val="69581678"/>
    <w:rsid w:val="6A1D01E4"/>
    <w:rsid w:val="6B720AE3"/>
    <w:rsid w:val="6E0A324A"/>
    <w:rsid w:val="6E5F2D7F"/>
    <w:rsid w:val="6F765C07"/>
    <w:rsid w:val="70486FEE"/>
    <w:rsid w:val="718F062F"/>
    <w:rsid w:val="71E03B95"/>
    <w:rsid w:val="739D70F5"/>
    <w:rsid w:val="744A736E"/>
    <w:rsid w:val="746C641A"/>
    <w:rsid w:val="7577D702"/>
    <w:rsid w:val="76294569"/>
    <w:rsid w:val="764D12A6"/>
    <w:rsid w:val="773C481C"/>
    <w:rsid w:val="78C075A5"/>
    <w:rsid w:val="78CF6617"/>
    <w:rsid w:val="79D7682F"/>
    <w:rsid w:val="7ADF12A0"/>
    <w:rsid w:val="7CC077EE"/>
    <w:rsid w:val="7D247CD4"/>
    <w:rsid w:val="7D586D0D"/>
    <w:rsid w:val="7D773087"/>
    <w:rsid w:val="7E6678D4"/>
    <w:rsid w:val="7F761A73"/>
    <w:rsid w:val="7FC64D38"/>
    <w:rsid w:val="7FDC74BB"/>
    <w:rsid w:val="BBE3FCA7"/>
    <w:rsid w:val="CB606E51"/>
    <w:rsid w:val="DB839824"/>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1009</Words>
  <Characters>1128</Characters>
  <Lines>1</Lines>
  <Paragraphs>1</Paragraphs>
  <TotalTime>1</TotalTime>
  <ScaleCrop>false</ScaleCrop>
  <LinksUpToDate>false</LinksUpToDate>
  <CharactersWithSpaces>1195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许微</cp:lastModifiedBy>
  <cp:lastPrinted>2024-08-09T11:10:00Z</cp:lastPrinted>
  <dcterms:modified xsi:type="dcterms:W3CDTF">2024-12-20T10:22:05Z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4D459924FAB5479493E4A1CB64F1B2C7_13</vt:lpwstr>
  </property>
</Properties>
</file>