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283</w:t>
      </w:r>
      <w:r>
        <w:rPr>
          <w:rFonts w:hint="default" w:ascii="Times New Roman" w:hAnsi="Times New Roman" w:eastAsia="仿宋_GB2312" w:cs="Times New Roman"/>
          <w:sz w:val="32"/>
          <w:szCs w:val="32"/>
        </w:rPr>
        <w:t>号</w:t>
      </w:r>
    </w:p>
    <w:bookmarkEnd w:id="0"/>
    <w:p>
      <w:pPr>
        <w:rPr>
          <w:rFonts w:ascii="仿宋_GB2312" w:eastAsia="仿宋_GB2312"/>
          <w:sz w:val="32"/>
          <w:szCs w:val="32"/>
        </w:rPr>
      </w:pPr>
    </w:p>
    <w:p>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（项目代码：2401-120116-89-01-349670）</w:t>
      </w:r>
    </w:p>
    <w:p>
      <w:pPr>
        <w:pStyle w:val="16"/>
        <w:spacing w:line="580" w:lineRule="exact"/>
        <w:jc w:val="center"/>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rPr>
        <w:t>关于</w:t>
      </w:r>
      <w:r>
        <w:rPr>
          <w:rFonts w:hint="eastAsia" w:ascii="方正小标宋简体" w:hAnsi="方正小标宋简体" w:eastAsia="方正小标宋简体" w:cs="方正小标宋简体"/>
          <w:color w:val="000000"/>
          <w:sz w:val="44"/>
          <w:lang w:eastAsia="zh-CN"/>
        </w:rPr>
        <w:t>大港油田天然气深冷提效工程</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default"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lang w:val="en-US" w:eastAsia="zh-CN"/>
        </w:rPr>
        <w:t xml:space="preserve">环境影响报告表的批复                                                                                                                                                                                                                                                                                                                                                                                                                                                                                                                                                                                                                                                                                                                                                                                                                                                                                                                                                                                                                                                                                                                                                                                                                                                                                                                                                                                                                                                                                                                                                                                                                                                                                                                                                                                                                                                                                                                                                                                                                                                                                                                                                                                                                                                                                                                                                                                                                                                                                                                                                                                                                                                                                                                                                                                                                                                                                                                                                                                                                                                                                                                                                                                                                                                                                                                                                                                                                                                                                                                                                                                                                                                                                                                                                                                                                                                                                                                                                                                                                                                                                                                                                                                                      </w:t>
      </w:r>
      <w:r>
        <w:rPr>
          <w:rFonts w:hint="eastAsia" w:ascii="方正小标宋简体" w:hAnsi="方正小标宋简体" w:eastAsia="方正小标宋简体" w:cs="方正小标宋简体"/>
          <w:color w:val="000000"/>
          <w:sz w:val="44"/>
          <w:lang w:val="en-US" w:eastAsia="zh-CN"/>
        </w:rPr>
        <w:t xml:space="preserve">                                                                                                                                                                                                                                                                                                                                                                                                                                                                                                                                                                                                                                                                                                                                                                                                                                                                                                                                                                                                                                                                                                                                                                                                                                                                                                                                                                                                                                                                                                                                                                                                                                                                                                                                                                                                                                                                                                                                                                                                                                                                                                                                                                                                                                                                                                                                                                                                                                                                                                                                                                                                                                                                                                                                                                                                                                                                                                                                                                                                                                                                                                                                                                                                                                                                                                                                                                                                                                                                                                                                                                                                                                                                                                                                                                                                                                                                                                           </w:t>
      </w:r>
    </w:p>
    <w:p>
      <w:pPr>
        <w:spacing w:line="0" w:lineRule="atLeast"/>
        <w:jc w:val="center"/>
        <w:rPr>
          <w:rFonts w:ascii="宋体" w:hAnsi="宋体"/>
          <w:b/>
          <w:color w:val="000000"/>
          <w:sz w:val="21"/>
          <w:szCs w:val="21"/>
        </w:rPr>
      </w:pPr>
    </w:p>
    <w:p>
      <w:pPr>
        <w:pStyle w:val="16"/>
        <w:pageBreakBefore w:val="0"/>
        <w:widowControl w:val="0"/>
        <w:kinsoku/>
        <w:wordWrap/>
        <w:overflowPunct/>
        <w:topLinePunct w:val="0"/>
        <w:autoSpaceDE/>
        <w:autoSpaceDN/>
        <w:bidi w:val="0"/>
        <w:snapToGrid/>
        <w:spacing w:line="5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大港油田集团有限责任公司</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snapToGrid/>
        <w:spacing w:line="540" w:lineRule="exact"/>
        <w:ind w:firstLine="640" w:firstLineChars="200"/>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呈</w:t>
      </w:r>
      <w:r>
        <w:rPr>
          <w:rFonts w:hint="eastAsia" w:ascii="仿宋_GB2312" w:hAnsi="仿宋_GB2312" w:eastAsia="仿宋_GB2312" w:cs="仿宋_GB2312"/>
          <w:sz w:val="32"/>
          <w:szCs w:val="32"/>
          <w:lang w:eastAsia="zh-CN"/>
        </w:rPr>
        <w:t>报的《大港油田天然气深冷提效工程环境影响报告表的请示》、</w:t>
      </w:r>
      <w:r>
        <w:rPr>
          <w:rFonts w:hint="eastAsia" w:ascii="仿宋_GB2312" w:hAnsi="仿宋_GB2312" w:eastAsia="仿宋_GB2312" w:cs="仿宋_GB2312"/>
          <w:sz w:val="32"/>
          <w:szCs w:val="32"/>
          <w:lang w:val="en-US" w:eastAsia="zh-CN"/>
        </w:rPr>
        <w:t>联合泰泽环境科技发展有限公司编制的</w:t>
      </w:r>
      <w:r>
        <w:rPr>
          <w:rFonts w:hint="eastAsia" w:ascii="仿宋_GB2312" w:hAnsi="仿宋_GB2312" w:eastAsia="仿宋_GB2312" w:cs="仿宋_GB2312"/>
          <w:sz w:val="32"/>
          <w:szCs w:val="32"/>
          <w:lang w:eastAsia="zh-CN"/>
        </w:rPr>
        <w:t>《大港油田天然气深冷提效工程环境影响报告表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等材料</w:t>
      </w:r>
      <w:r>
        <w:rPr>
          <w:rFonts w:hint="eastAsia" w:ascii="仿宋_GB2312" w:hAnsi="仿宋_GB2312" w:eastAsia="仿宋_GB2312" w:cs="仿宋_GB2312"/>
          <w:sz w:val="32"/>
          <w:szCs w:val="32"/>
        </w:rPr>
        <w:t>收悉。经研究，现批复如下：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sz w:val="32"/>
          <w:szCs w:val="32"/>
          <w:lang w:val="en-US" w:eastAsia="zh-CN"/>
        </w:rPr>
        <w:t xml:space="preserve">    一、</w:t>
      </w:r>
      <w:r>
        <w:rPr>
          <w:rFonts w:hint="eastAsia" w:ascii="仿宋_GB2312" w:hAnsi="仿宋_GB2312" w:eastAsia="仿宋_GB2312" w:cs="仿宋_GB2312"/>
          <w:sz w:val="32"/>
          <w:szCs w:val="32"/>
          <w:lang w:eastAsia="zh-CN"/>
        </w:rPr>
        <w:t>为深入挖掘油气资源潜力、做好天然气附加值提升，</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公司拟</w:t>
      </w:r>
      <w:r>
        <w:rPr>
          <w:rFonts w:hint="eastAsia" w:ascii="仿宋_GB2312" w:hAnsi="仿宋_GB2312" w:eastAsia="仿宋_GB2312" w:cs="仿宋_GB2312"/>
          <w:sz w:val="32"/>
          <w:szCs w:val="32"/>
          <w:lang w:eastAsia="zh-CN"/>
        </w:rPr>
        <w:t>投资</w:t>
      </w:r>
      <w:r>
        <w:rPr>
          <w:rFonts w:hint="eastAsia" w:ascii="仿宋_GB2312" w:hAnsi="仿宋_GB2312" w:eastAsia="仿宋_GB2312" w:cs="仿宋_GB2312"/>
          <w:sz w:val="32"/>
          <w:szCs w:val="32"/>
          <w:lang w:val="en-US" w:eastAsia="zh-CN"/>
        </w:rPr>
        <w:t>57099万元在天津市滨海新区滨海北路126号</w:t>
      </w:r>
      <w:r>
        <w:rPr>
          <w:rFonts w:hint="eastAsia" w:ascii="仿宋_GB2312" w:hAnsi="仿宋_GB2312" w:eastAsia="仿宋_GB2312" w:cs="仿宋_GB2312"/>
          <w:sz w:val="32"/>
          <w:szCs w:val="32"/>
          <w:lang w:eastAsia="zh-CN"/>
        </w:rPr>
        <w:t>大港油田天然</w:t>
      </w:r>
      <w:r>
        <w:rPr>
          <w:rFonts w:hint="eastAsia" w:ascii="仿宋_GB2312" w:hAnsi="仿宋_GB2312" w:eastAsia="仿宋_GB2312" w:cs="仿宋_GB2312"/>
          <w:sz w:val="32"/>
          <w:szCs w:val="32"/>
          <w:highlight w:val="none"/>
          <w:lang w:eastAsia="zh-CN"/>
        </w:rPr>
        <w:t>气公司天然气处理站</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lang w:eastAsia="zh-CN"/>
        </w:rPr>
        <w:t>大港油田天然气深冷提效工程</w:t>
      </w:r>
      <w:r>
        <w:rPr>
          <w:rFonts w:hint="eastAsia" w:ascii="仿宋_GB2312" w:hAnsi="仿宋_GB2312" w:eastAsia="仿宋_GB2312" w:cs="仿宋_GB2312"/>
          <w:sz w:val="32"/>
          <w:szCs w:val="32"/>
          <w:highlight w:val="none"/>
          <w:lang w:val="en-US" w:eastAsia="zh-CN"/>
        </w:rPr>
        <w:t>。主要</w:t>
      </w:r>
      <w:r>
        <w:rPr>
          <w:rFonts w:hint="eastAsia" w:ascii="仿宋_GB2312" w:hAnsi="仿宋_GB2312" w:eastAsia="仿宋_GB2312" w:cs="仿宋_GB2312"/>
          <w:sz w:val="32"/>
          <w:szCs w:val="32"/>
          <w:highlight w:val="none"/>
          <w:lang w:eastAsia="zh-CN"/>
        </w:rPr>
        <w:t>建设内容为增压单元：对现有3套增压装置停用、4套备用，并新增1套135×10</w:t>
      </w:r>
      <w:r>
        <w:rPr>
          <w:rFonts w:hint="eastAsia" w:ascii="仿宋_GB2312" w:hAnsi="仿宋_GB2312" w:eastAsia="仿宋_GB2312" w:cs="仿宋_GB2312"/>
          <w:sz w:val="32"/>
          <w:szCs w:val="32"/>
          <w:highlight w:val="none"/>
          <w:vertAlign w:val="superscript"/>
          <w:lang w:eastAsia="zh-CN"/>
        </w:rPr>
        <w:t>4</w:t>
      </w:r>
      <w:r>
        <w:rPr>
          <w:rFonts w:hint="eastAsia" w:ascii="仿宋_GB2312" w:hAnsi="仿宋_GB2312" w:eastAsia="仿宋_GB2312" w:cs="仿宋_GB2312"/>
          <w:sz w:val="32"/>
          <w:szCs w:val="32"/>
          <w:highlight w:val="none"/>
          <w:lang w:eastAsia="zh-CN"/>
        </w:rPr>
        <w:t>m³/d的增压装置，用于中、低压原料气的增压（高压原料气无需增压可直接进行后续脱硫）；脱硫单元：对现有2套脱硫装置停用、5套利旧，并新增3套脱硫装置，扩建后脱硫装置6用2备，脱硫能力200×10</w:t>
      </w:r>
      <w:r>
        <w:rPr>
          <w:rFonts w:hint="eastAsia" w:ascii="仿宋_GB2312" w:hAnsi="仿宋_GB2312" w:eastAsia="仿宋_GB2312" w:cs="仿宋_GB2312"/>
          <w:sz w:val="32"/>
          <w:szCs w:val="32"/>
          <w:highlight w:val="none"/>
          <w:vertAlign w:val="superscript"/>
          <w:lang w:eastAsia="zh-CN"/>
        </w:rPr>
        <w:t>4</w:t>
      </w:r>
      <w:r>
        <w:rPr>
          <w:rFonts w:hint="eastAsia" w:ascii="仿宋_GB2312" w:hAnsi="仿宋_GB2312" w:eastAsia="仿宋_GB2312" w:cs="仿宋_GB2312"/>
          <w:sz w:val="32"/>
          <w:szCs w:val="32"/>
          <w:highlight w:val="none"/>
          <w:lang w:eastAsia="zh-CN"/>
        </w:rPr>
        <w:t>m³/d；原一期脱水、制冷分馏单元设备停用，二期脱水、制冷分馏单元备用，新建对应处理能力为200×10</w:t>
      </w:r>
      <w:r>
        <w:rPr>
          <w:rFonts w:hint="eastAsia" w:ascii="仿宋_GB2312" w:hAnsi="仿宋_GB2312" w:eastAsia="仿宋_GB2312" w:cs="仿宋_GB2312"/>
          <w:sz w:val="32"/>
          <w:szCs w:val="32"/>
          <w:highlight w:val="none"/>
          <w:vertAlign w:val="superscript"/>
          <w:lang w:eastAsia="zh-CN"/>
        </w:rPr>
        <w:t>4</w:t>
      </w:r>
      <w:r>
        <w:rPr>
          <w:rFonts w:hint="eastAsia" w:ascii="仿宋_GB2312" w:hAnsi="仿宋_GB2312" w:eastAsia="仿宋_GB2312" w:cs="仿宋_GB2312"/>
          <w:sz w:val="32"/>
          <w:szCs w:val="32"/>
          <w:highlight w:val="none"/>
          <w:lang w:eastAsia="zh-CN"/>
        </w:rPr>
        <w:t>m³/d的脱碳、脱水、制冷分馏单元，新建配套冷剂循环单元、CO</w:t>
      </w:r>
      <w:r>
        <w:rPr>
          <w:rFonts w:hint="eastAsia" w:ascii="仿宋_GB2312" w:hAnsi="仿宋_GB2312" w:eastAsia="仿宋_GB2312" w:cs="仿宋_GB2312"/>
          <w:sz w:val="32"/>
          <w:szCs w:val="32"/>
          <w:highlight w:val="none"/>
          <w:vertAlign w:val="subscript"/>
          <w:lang w:eastAsia="zh-CN"/>
        </w:rPr>
        <w:t>2</w:t>
      </w:r>
      <w:r>
        <w:rPr>
          <w:rFonts w:hint="eastAsia" w:ascii="仿宋_GB2312" w:hAnsi="仿宋_GB2312" w:eastAsia="仿宋_GB2312" w:cs="仿宋_GB2312"/>
          <w:sz w:val="32"/>
          <w:szCs w:val="32"/>
          <w:highlight w:val="none"/>
          <w:lang w:eastAsia="zh-CN"/>
        </w:rPr>
        <w:t>增压单元、BOG回收单元等；改扩建产品储运单元，包括新建1具5000m³乙烷储罐、1具1000m³LPG储罐、1具1000m³稳定轻烃储罐；利旧现有装卸区内门卫、装卸休息室及地磅，在现有装卸区西侧新建装卸台；增容改造现有</w:t>
      </w:r>
      <w:r>
        <w:rPr>
          <w:rFonts w:hint="eastAsia" w:ascii="仿宋_GB2312" w:hAnsi="仿宋_GB2312" w:eastAsia="仿宋_GB2312" w:cs="仿宋_GB2312"/>
          <w:sz w:val="32"/>
          <w:szCs w:val="32"/>
          <w:highlight w:val="none"/>
          <w:lang w:val="en-US" w:eastAsia="zh-CN"/>
        </w:rPr>
        <w:t>110kV变电站</w:t>
      </w:r>
      <w:r>
        <w:rPr>
          <w:rFonts w:hint="eastAsia" w:ascii="仿宋_GB2312" w:hAnsi="仿宋_GB2312" w:eastAsia="仿宋_GB2312" w:cs="仿宋_GB2312"/>
          <w:sz w:val="32"/>
          <w:szCs w:val="32"/>
          <w:highlight w:val="none"/>
          <w:lang w:eastAsia="zh-CN"/>
        </w:rPr>
        <w:t>等。</w:t>
      </w:r>
    </w:p>
    <w:p>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highlight w:val="none"/>
          <w:lang w:eastAsia="zh-CN"/>
        </w:rPr>
        <w:t>本项目实施后全厂天然气处理规模为200×10</w:t>
      </w:r>
      <w:r>
        <w:rPr>
          <w:rFonts w:hint="eastAsia" w:ascii="仿宋_GB2312" w:hAnsi="仿宋_GB2312" w:eastAsia="仿宋_GB2312" w:cs="仿宋_GB2312"/>
          <w:sz w:val="32"/>
          <w:szCs w:val="32"/>
          <w:highlight w:val="none"/>
          <w:vertAlign w:val="superscript"/>
          <w:lang w:eastAsia="zh-CN"/>
        </w:rPr>
        <w:t>4</w:t>
      </w:r>
      <w:r>
        <w:rPr>
          <w:rFonts w:hint="eastAsia" w:ascii="仿宋_GB2312" w:hAnsi="仿宋_GB2312" w:eastAsia="仿宋_GB2312" w:cs="仿宋_GB2312"/>
          <w:sz w:val="32"/>
          <w:szCs w:val="32"/>
          <w:highlight w:val="none"/>
          <w:lang w:eastAsia="zh-CN"/>
        </w:rPr>
        <w:t>m³/d，总体工艺为“干法脱硫+MDEA脱二氧化碳+分子筛脱水+过冷空气回流”产量为商品天然气164.13×10</w:t>
      </w:r>
      <w:r>
        <w:rPr>
          <w:rFonts w:hint="eastAsia" w:ascii="仿宋_GB2312" w:hAnsi="仿宋_GB2312" w:eastAsia="仿宋_GB2312" w:cs="仿宋_GB2312"/>
          <w:sz w:val="32"/>
          <w:szCs w:val="32"/>
          <w:highlight w:val="none"/>
          <w:vertAlign w:val="superscript"/>
          <w:lang w:eastAsia="zh-CN"/>
        </w:rPr>
        <w:t>4</w:t>
      </w:r>
      <w:r>
        <w:rPr>
          <w:rFonts w:hint="eastAsia" w:ascii="仿宋_GB2312" w:hAnsi="仿宋_GB2312" w:eastAsia="仿宋_GB2312" w:cs="仿宋_GB2312"/>
          <w:sz w:val="32"/>
          <w:szCs w:val="32"/>
          <w:highlight w:val="none"/>
          <w:lang w:eastAsia="zh-CN"/>
        </w:rPr>
        <w:t>m³/d、液化石油气295.02t/d、乙烷190.32t/d、轻烃97.82t/d。</w:t>
      </w:r>
      <w:r>
        <w:rPr>
          <w:rFonts w:hint="eastAsia" w:ascii="仿宋_GB2312" w:hAnsi="仿宋_GB2312" w:eastAsia="仿宋_GB2312" w:cs="仿宋_GB2312"/>
          <w:bCs/>
          <w:sz w:val="32"/>
          <w:szCs w:val="32"/>
          <w:highlight w:val="none"/>
          <w:lang w:eastAsia="zh-CN"/>
        </w:rPr>
        <w:t>本项</w:t>
      </w:r>
      <w:r>
        <w:rPr>
          <w:rFonts w:hint="eastAsia" w:ascii="仿宋_GB2312" w:hAnsi="仿宋_GB2312" w:eastAsia="仿宋_GB2312" w:cs="仿宋_GB2312"/>
          <w:bCs/>
          <w:sz w:val="32"/>
          <w:szCs w:val="32"/>
          <w:lang w:eastAsia="zh-CN"/>
        </w:rPr>
        <w:t>目</w:t>
      </w:r>
      <w:r>
        <w:rPr>
          <w:rFonts w:hint="eastAsia" w:ascii="仿宋_GB2312" w:hAnsi="仿宋_GB2312" w:eastAsia="仿宋_GB2312" w:cs="仿宋_GB2312"/>
          <w:bCs/>
          <w:sz w:val="32"/>
          <w:szCs w:val="32"/>
        </w:rPr>
        <w:t>环保投资</w:t>
      </w:r>
      <w:r>
        <w:rPr>
          <w:rFonts w:hint="eastAsia" w:ascii="仿宋_GB2312" w:hAnsi="仿宋_GB2312" w:eastAsia="仿宋_GB2312" w:cs="仿宋_GB2312"/>
          <w:bCs/>
          <w:sz w:val="32"/>
          <w:szCs w:val="32"/>
          <w:lang w:val="en-US" w:eastAsia="zh-CN"/>
        </w:rPr>
        <w:t>160</w:t>
      </w:r>
      <w:r>
        <w:rPr>
          <w:rFonts w:hint="eastAsia" w:ascii="仿宋_GB2312" w:hAnsi="仿宋_GB2312" w:eastAsia="仿宋_GB2312" w:cs="仿宋_GB2312"/>
          <w:bCs/>
          <w:sz w:val="32"/>
          <w:szCs w:val="32"/>
        </w:rPr>
        <w:t>万元，约占投资总额的</w:t>
      </w:r>
      <w:r>
        <w:rPr>
          <w:rFonts w:hint="eastAsia" w:ascii="仿宋_GB2312" w:hAnsi="仿宋_GB2312" w:eastAsia="仿宋_GB2312" w:cs="仿宋_GB2312"/>
          <w:bCs/>
          <w:sz w:val="32"/>
          <w:szCs w:val="32"/>
          <w:lang w:val="en-US" w:eastAsia="zh-CN"/>
        </w:rPr>
        <w:t>0.28</w:t>
      </w:r>
      <w:r>
        <w:rPr>
          <w:rFonts w:hint="eastAsia" w:ascii="仿宋_GB2312" w:hAnsi="仿宋_GB2312" w:eastAsia="仿宋_GB2312" w:cs="仿宋_GB2312"/>
          <w:bCs/>
          <w:sz w:val="32"/>
          <w:szCs w:val="32"/>
        </w:rPr>
        <w:t>%。</w:t>
      </w:r>
    </w:p>
    <w:p>
      <w:pPr>
        <w:keepNext w:val="0"/>
        <w:keepLines w:val="0"/>
        <w:pageBreakBefore w:val="0"/>
        <w:widowControl/>
        <w:numPr>
          <w:ilvl w:val="0"/>
          <w:numId w:val="0"/>
        </w:numPr>
        <w:suppressLineNumbers w:val="0"/>
        <w:kinsoku/>
        <w:wordWrap/>
        <w:overflowPunct/>
        <w:topLinePunct w:val="0"/>
        <w:autoSpaceDE/>
        <w:autoSpaceDN/>
        <w:bidi w:val="0"/>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highlight w:val="none"/>
          <w:lang w:val="en-US" w:eastAsia="zh-CN"/>
        </w:rPr>
        <w:t>11月12日至11月18日，我</w:t>
      </w:r>
      <w:r>
        <w:rPr>
          <w:rFonts w:hint="eastAsia" w:ascii="仿宋_GB2312" w:hAnsi="仿宋_GB2312" w:eastAsia="仿宋_GB2312" w:cs="仿宋_GB2312"/>
          <w:sz w:val="32"/>
          <w:szCs w:val="32"/>
          <w:lang w:val="en-US" w:eastAsia="zh-CN"/>
        </w:rPr>
        <w:t>局将该项目环评报告受理情况进行了公示；</w:t>
      </w:r>
      <w:r>
        <w:rPr>
          <w:rFonts w:hint="eastAsia" w:ascii="仿宋_GB2312" w:hAnsi="仿宋_GB2312" w:eastAsia="仿宋_GB2312" w:cs="仿宋_GB2312"/>
          <w:sz w:val="32"/>
          <w:szCs w:val="32"/>
          <w:highlight w:val="none"/>
          <w:lang w:val="en-US" w:eastAsia="zh-CN"/>
        </w:rPr>
        <w:t>11月26日至12月2日，</w:t>
      </w:r>
      <w:r>
        <w:rPr>
          <w:rFonts w:hint="eastAsia" w:ascii="仿宋_GB2312" w:hAnsi="仿宋_GB2312" w:eastAsia="仿宋_GB2312" w:cs="仿宋_GB2312"/>
          <w:sz w:val="32"/>
          <w:szCs w:val="32"/>
          <w:lang w:val="en-US" w:eastAsia="zh-CN"/>
        </w:rPr>
        <w:t>将该项目环评报告拟批复情况进行了公示；</w:t>
      </w:r>
      <w:r>
        <w:rPr>
          <w:rFonts w:hint="eastAsia" w:ascii="仿宋_GB2312" w:hAnsi="仿宋_GB2312" w:eastAsia="仿宋_GB2312" w:cs="仿宋_GB2312"/>
          <w:sz w:val="32"/>
          <w:szCs w:val="32"/>
        </w:rPr>
        <w:t>根据公众反馈意见情况及环评报告结论，在严格落实环评报告所提出的各项污染防治措施、确保各类污染物稳定达标的前提下，项目具备环境可行性。</w:t>
      </w:r>
    </w:p>
    <w:p>
      <w:pPr>
        <w:pageBreakBefore w:val="0"/>
        <w:widowControl w:val="0"/>
        <w:kinsoku/>
        <w:wordWrap/>
        <w:overflowPunct/>
        <w:topLinePunct w:val="0"/>
        <w:autoSpaceDE/>
        <w:autoSpaceDN/>
        <w:bidi w:val="0"/>
        <w:snapToGrid/>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rPr>
        <w:t>应重点做好以下工作：</w:t>
      </w:r>
    </w:p>
    <w:p>
      <w:pPr>
        <w:pageBreakBefore w:val="0"/>
        <w:widowControl w:val="0"/>
        <w:kinsoku/>
        <w:wordWrap/>
        <w:overflowPunct/>
        <w:topLinePunct w:val="0"/>
        <w:autoSpaceDE/>
        <w:autoSpaceDN/>
        <w:bidi w:val="0"/>
        <w:snapToGrid/>
        <w:spacing w:line="540" w:lineRule="exact"/>
        <w:ind w:firstLine="640" w:firstLineChars="200"/>
        <w:textAlignment w:val="baseline"/>
        <w:rPr>
          <w:rFonts w:hint="eastAsia" w:ascii="仿宋_GB2312" w:hAnsi="仿宋_GB2312" w:eastAsia="仿宋_GB2312" w:cs="仿宋_GB2312"/>
          <w:color w:val="0000FF"/>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sz w:val="32"/>
          <w:szCs w:val="32"/>
          <w:lang w:val="en-US" w:eastAsia="zh-CN"/>
        </w:rPr>
        <w:t>施工期间应严格执行国家相关环保法律法规和落实环评报告中提出的污染防范措施：施工过程中要采取全面的生态保护和水土保持措施；</w:t>
      </w:r>
      <w:r>
        <w:rPr>
          <w:rFonts w:hint="eastAsia" w:ascii="仿宋_GB2312" w:hAnsi="仿宋_GB2312" w:eastAsia="仿宋_GB2312" w:cs="仿宋_GB2312"/>
          <w:color w:val="auto"/>
          <w:sz w:val="32"/>
          <w:szCs w:val="32"/>
        </w:rPr>
        <w:t>减少扬尘</w:t>
      </w:r>
      <w:r>
        <w:rPr>
          <w:rFonts w:hint="eastAsia" w:ascii="仿宋_GB2312" w:hAnsi="仿宋_GB2312" w:eastAsia="仿宋_GB2312" w:cs="仿宋_GB2312"/>
          <w:color w:val="auto"/>
          <w:sz w:val="32"/>
          <w:szCs w:val="32"/>
          <w:lang w:eastAsia="zh-CN"/>
        </w:rPr>
        <w:t>、焊接烟尘等对周边环境造成的影响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车辆清洗废水经沉淀后</w:t>
      </w:r>
      <w:r>
        <w:rPr>
          <w:rFonts w:hint="eastAsia" w:ascii="仿宋_GB2312" w:hAnsi="仿宋_GB2312" w:eastAsia="仿宋_GB2312" w:cs="仿宋_GB2312"/>
          <w:color w:val="auto"/>
          <w:sz w:val="32"/>
          <w:szCs w:val="32"/>
          <w:lang w:val="en-US" w:eastAsia="zh-CN"/>
        </w:rPr>
        <w:t>回用于洒水抑尘；</w:t>
      </w:r>
      <w:r>
        <w:rPr>
          <w:rFonts w:hint="eastAsia" w:ascii="仿宋_GB2312" w:hAnsi="仿宋_GB2312" w:eastAsia="仿宋_GB2312" w:cs="仿宋_GB2312"/>
          <w:color w:val="auto"/>
          <w:sz w:val="32"/>
          <w:szCs w:val="32"/>
        </w:rPr>
        <w:t>合理安排施工时间，</w:t>
      </w:r>
      <w:r>
        <w:rPr>
          <w:rFonts w:hint="eastAsia" w:ascii="仿宋_GB2312" w:hAnsi="仿宋_GB2312" w:eastAsia="仿宋_GB2312" w:cs="仿宋_GB2312"/>
          <w:color w:val="auto"/>
          <w:sz w:val="32"/>
          <w:szCs w:val="32"/>
          <w:lang w:eastAsia="zh-CN"/>
        </w:rPr>
        <w:t>选用低噪声设备，</w:t>
      </w:r>
      <w:r>
        <w:rPr>
          <w:rFonts w:hint="eastAsia" w:ascii="仿宋_GB2312" w:hAnsi="仿宋_GB2312" w:eastAsia="仿宋_GB2312" w:cs="仿宋_GB2312"/>
          <w:color w:val="auto"/>
          <w:sz w:val="32"/>
          <w:szCs w:val="32"/>
          <w:lang w:val="en-US" w:eastAsia="zh-CN"/>
        </w:rPr>
        <w:t>并采取隔声减振措施</w:t>
      </w:r>
      <w:r>
        <w:rPr>
          <w:rFonts w:hint="eastAsia" w:ascii="仿宋_GB2312" w:hAnsi="仿宋_GB2312" w:eastAsia="仿宋_GB2312" w:cs="仿宋_GB2312"/>
          <w:color w:val="auto"/>
          <w:sz w:val="32"/>
          <w:szCs w:val="32"/>
          <w:lang w:eastAsia="zh-CN"/>
        </w:rPr>
        <w:t>；固体废物妥善处置，属于危险废物的</w:t>
      </w:r>
      <w:r>
        <w:rPr>
          <w:rFonts w:hint="eastAsia" w:ascii="仿宋_GB2312" w:hAnsi="仿宋_GB2312" w:eastAsia="仿宋_GB2312" w:cs="仿宋_GB2312"/>
          <w:bCs/>
          <w:sz w:val="32"/>
          <w:szCs w:val="32"/>
        </w:rPr>
        <w:t>交由有资质的单位进行</w:t>
      </w:r>
      <w:r>
        <w:rPr>
          <w:rFonts w:hint="eastAsia" w:ascii="仿宋_GB2312" w:hAnsi="仿宋_GB2312" w:eastAsia="仿宋_GB2312" w:cs="仿宋_GB2312"/>
          <w:bCs/>
          <w:color w:val="auto"/>
          <w:sz w:val="32"/>
          <w:szCs w:val="32"/>
        </w:rPr>
        <w:t>处置</w:t>
      </w:r>
      <w:r>
        <w:rPr>
          <w:rFonts w:hint="eastAsia" w:ascii="仿宋_GB2312" w:hAnsi="仿宋_GB2312" w:eastAsia="仿宋_GB2312" w:cs="仿宋_GB2312"/>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本项目不新增员工，不增加生活污水。天然气处理过程中脱出并油水分离后的水，经现有埋地管线进入港东联合站，处理达标后回注地下油层；软水制备排浓水经废水总排口达标排入市政污水管网，最终汇入南港污水处理厂集中处理，</w:t>
      </w:r>
    </w:p>
    <w:p>
      <w:pPr>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本项目新增2台7500kW热媒加热系统，经低氮燃烧后产生的废气分别由各自1根24m高排气筒P5、P6达标排放；室内供暖使用新建1台热回收式直燃型溴化锂冷（热）水机，利用天然气压缩机余热提供动力，当处理站大修时，天然气压缩机停运无法提供热源，需燃烧天然气，经低氮燃烧后的燃气废气通过1根15m高排气筒P8达标排放。现有分析室拆除重建，涉及有机试剂操作均在通风橱内进行，收集的有机废气经活性炭箱吸附净化后由1根15m高排气筒P7达标排放。</w:t>
      </w:r>
    </w:p>
    <w:p>
      <w:pPr>
        <w:pStyle w:val="2"/>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加强管理，减少废气的无组织排放，确保甲醇储罐小呼吸、管路及设备动静密封点泄漏产生的非甲烷总烃</w:t>
      </w:r>
      <w:r>
        <w:rPr>
          <w:rFonts w:hint="eastAsia" w:ascii="仿宋_GB2312" w:hAnsi="仿宋_GB2312" w:eastAsia="仿宋_GB2312" w:cs="仿宋_GB2312"/>
          <w:sz w:val="32"/>
          <w:szCs w:val="32"/>
        </w:rPr>
        <w:t>无组织排放浓度满足厂界限值要求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4.对主要噪声源要合理布局，并采取隔声、降噪、减振等措施，使噪声满足排放限值的要求。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kern w:val="2"/>
          <w:sz w:val="32"/>
          <w:szCs w:val="32"/>
          <w:highlight w:val="none"/>
          <w:lang w:val="en-US" w:eastAsia="zh-CN" w:bidi="ar-SA"/>
        </w:rPr>
        <w:t>5.做好各类固体废物的收集、贮存、运输和处置，做到资源化、减量化、无害化。</w:t>
      </w:r>
      <w:r>
        <w:rPr>
          <w:rFonts w:hint="eastAsia" w:ascii="仿宋_GB2312" w:hAnsi="仿宋_GB2312" w:eastAsia="仿宋_GB2312" w:cs="仿宋_GB2312"/>
          <w:bCs/>
          <w:sz w:val="32"/>
          <w:szCs w:val="32"/>
          <w:highlight w:val="none"/>
        </w:rPr>
        <w:t>该项目</w:t>
      </w:r>
      <w:r>
        <w:rPr>
          <w:rFonts w:hint="eastAsia" w:ascii="仿宋_GB2312" w:hAnsi="仿宋_GB2312" w:eastAsia="仿宋_GB2312" w:cs="仿宋_GB2312"/>
          <w:bCs/>
          <w:sz w:val="32"/>
          <w:szCs w:val="32"/>
          <w:highlight w:val="none"/>
          <w:lang w:eastAsia="zh-CN"/>
        </w:rPr>
        <w:t>废气治理及</w:t>
      </w:r>
      <w:r>
        <w:rPr>
          <w:rFonts w:hint="eastAsia" w:ascii="仿宋_GB2312" w:hAnsi="仿宋_GB2312" w:eastAsia="仿宋_GB2312" w:cs="仿宋_GB2312"/>
          <w:bCs/>
          <w:sz w:val="32"/>
          <w:szCs w:val="32"/>
          <w:highlight w:val="none"/>
          <w:lang w:val="en-US" w:eastAsia="zh-CN"/>
        </w:rPr>
        <w:t>MDEA净化环节产生的废活性炭、沾染废物</w:t>
      </w:r>
      <w:r>
        <w:rPr>
          <w:rFonts w:hint="eastAsia" w:ascii="仿宋_GB2312" w:hAnsi="仿宋_GB2312" w:eastAsia="仿宋_GB2312" w:cs="仿宋_GB2312"/>
          <w:bCs/>
          <w:sz w:val="32"/>
          <w:szCs w:val="32"/>
          <w:highlight w:val="none"/>
          <w:lang w:eastAsia="zh-CN"/>
        </w:rPr>
        <w:t>、废机油、有机试剂的废包装物、废</w:t>
      </w:r>
      <w:r>
        <w:rPr>
          <w:rFonts w:hint="eastAsia" w:ascii="仿宋_GB2312" w:hAnsi="仿宋_GB2312" w:eastAsia="仿宋_GB2312" w:cs="仿宋_GB2312"/>
          <w:bCs/>
          <w:sz w:val="32"/>
          <w:szCs w:val="32"/>
          <w:highlight w:val="none"/>
          <w:lang w:val="en-US" w:eastAsia="zh-CN"/>
        </w:rPr>
        <w:t>蓄电池</w:t>
      </w:r>
      <w:r>
        <w:rPr>
          <w:rFonts w:hint="eastAsia" w:ascii="仿宋_GB2312" w:hAnsi="仿宋_GB2312" w:eastAsia="仿宋_GB2312" w:cs="仿宋_GB2312"/>
          <w:bCs/>
          <w:sz w:val="32"/>
          <w:szCs w:val="32"/>
          <w:highlight w:val="none"/>
        </w:rPr>
        <w:t>等危险废物</w:t>
      </w:r>
      <w:r>
        <w:rPr>
          <w:rFonts w:hint="eastAsia" w:ascii="仿宋_GB2312" w:hAnsi="仿宋_GB2312" w:eastAsia="仿宋_GB2312" w:cs="仿宋_GB2312"/>
          <w:kern w:val="2"/>
          <w:sz w:val="32"/>
          <w:szCs w:val="32"/>
          <w:highlight w:val="none"/>
          <w:lang w:val="en-US" w:eastAsia="zh-CN" w:bidi="ar-SA"/>
        </w:rPr>
        <w:t>须按照《危险废物收集 贮存 运输技术规范》（HJ2025-2012）进行收集、贮存及运输，并交由有相应资质的公司进行处理、处置；新建的危险废物暂存库应按《危险废物贮存污染控制标准》（GB18597-2023）进行管理。</w:t>
      </w:r>
      <w:r>
        <w:rPr>
          <w:rFonts w:hint="eastAsia" w:ascii="仿宋_GB2312" w:hAnsi="仿宋_GB2312" w:eastAsia="仿宋_GB2312" w:cs="仿宋_GB2312"/>
          <w:bCs/>
          <w:sz w:val="32"/>
          <w:szCs w:val="32"/>
          <w:highlight w:val="none"/>
          <w:lang w:val="en-US" w:eastAsia="zh-CN"/>
        </w:rPr>
        <w:t>失效分子筛、脱硫废渣、软水制备过程产生的废活性炭、废滤芯、废RO膜</w:t>
      </w:r>
      <w:r>
        <w:rPr>
          <w:rFonts w:hint="eastAsia" w:ascii="仿宋_GB2312" w:hAnsi="仿宋_GB2312" w:eastAsia="仿宋_GB2312" w:cs="仿宋_GB2312"/>
          <w:bCs/>
          <w:sz w:val="32"/>
          <w:szCs w:val="32"/>
          <w:highlight w:val="none"/>
        </w:rPr>
        <w:t>等一般工业固废交由</w:t>
      </w:r>
      <w:r>
        <w:rPr>
          <w:rFonts w:hint="eastAsia" w:ascii="仿宋_GB2312" w:hAnsi="仿宋_GB2312" w:eastAsia="仿宋_GB2312" w:cs="仿宋_GB2312"/>
          <w:bCs/>
          <w:sz w:val="32"/>
          <w:szCs w:val="32"/>
          <w:highlight w:val="none"/>
          <w:lang w:eastAsia="zh-CN"/>
        </w:rPr>
        <w:t>相关单位</w:t>
      </w:r>
      <w:r>
        <w:rPr>
          <w:rFonts w:hint="eastAsia" w:ascii="仿宋_GB2312" w:hAnsi="仿宋_GB2312" w:eastAsia="仿宋_GB2312" w:cs="仿宋_GB2312"/>
          <w:bCs/>
          <w:sz w:val="32"/>
          <w:szCs w:val="32"/>
          <w:highlight w:val="none"/>
        </w:rPr>
        <w:t>处置或</w:t>
      </w:r>
      <w:r>
        <w:rPr>
          <w:rFonts w:hint="eastAsia" w:ascii="仿宋_GB2312" w:hAnsi="仿宋_GB2312" w:eastAsia="仿宋_GB2312" w:cs="仿宋_GB2312"/>
          <w:bCs/>
          <w:sz w:val="32"/>
          <w:szCs w:val="32"/>
          <w:highlight w:val="none"/>
          <w:lang w:eastAsia="zh-CN"/>
        </w:rPr>
        <w:t>综合利用</w:t>
      </w:r>
      <w:r>
        <w:rPr>
          <w:rFonts w:hint="eastAsia" w:ascii="仿宋_GB2312" w:hAnsi="仿宋_GB2312"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outlineLvl w:val="9"/>
        <w:rPr>
          <w:rFonts w:hint="eastAsia"/>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eastAsia" w:ascii="Times New Roman" w:hAnsi="Times New Roman" w:eastAsia="仿宋_GB2312" w:cs="Times New Roman"/>
          <w:color w:val="auto"/>
          <w:sz w:val="32"/>
          <w:szCs w:val="32"/>
          <w:lang w:eastAsia="zh-CN"/>
        </w:rPr>
        <w:t>变电站增容后</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工频电场强度、工频磁感应强度符合《电磁环境控制限值》限值要求。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根据报告</w:t>
      </w:r>
      <w:r>
        <w:rPr>
          <w:rFonts w:hint="eastAsia" w:ascii="仿宋_GB2312" w:hAnsi="仿宋_GB2312" w:eastAsia="仿宋_GB2312" w:cs="仿宋_GB2312"/>
          <w:sz w:val="32"/>
          <w:szCs w:val="32"/>
          <w:highlight w:val="none"/>
          <w:lang w:eastAsia="zh-CN"/>
        </w:rPr>
        <w:t>表及区生态环境局《关于</w:t>
      </w:r>
      <w:r>
        <w:rPr>
          <w:rFonts w:hint="eastAsia" w:ascii="仿宋_GB2312" w:hAnsi="仿宋_GB2312" w:eastAsia="仿宋_GB2312" w:cs="仿宋_GB2312"/>
          <w:sz w:val="32"/>
          <w:szCs w:val="32"/>
          <w:lang w:eastAsia="zh-CN"/>
        </w:rPr>
        <w:t>大港油田天然气深冷提效工程</w:t>
      </w:r>
      <w:r>
        <w:rPr>
          <w:rFonts w:hint="eastAsia" w:ascii="仿宋_GB2312" w:hAnsi="仿宋_GB2312" w:eastAsia="仿宋_GB2312" w:cs="仿宋_GB2312"/>
          <w:sz w:val="32"/>
          <w:szCs w:val="32"/>
          <w:highlight w:val="none"/>
          <w:lang w:eastAsia="zh-CN"/>
        </w:rPr>
        <w:t>新增主要污染物总量指标的说明》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该项目新增化学需氧量0.0438吨/年、氮氧化物2.59吨/年，挥发性有机物0.00087吨/年。以上污染物总量指标均有来源。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8.做好相关排污口规范化工作，设置规范的采样点和采样平台，悬挂符合要求的标识牌。</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sz w:val="32"/>
          <w:szCs w:val="32"/>
          <w:lang w:val="en-US" w:eastAsia="zh-CN"/>
        </w:rPr>
        <w:t>做好地下水污染和土壤污染的防控工作：严格按照《石油化工工程防渗技术规范》（GB/T50934-2013）等文件的要求，根据“源头防控、分区防治、污染监控、应急响应”的原则，采取严格的防渗、防泄漏、防腐蚀等各项分区防控措施，严禁对地下水、土壤产生影响。</w:t>
      </w:r>
    </w:p>
    <w:p>
      <w:pPr>
        <w:keepNext w:val="0"/>
        <w:keepLines w:val="0"/>
        <w:pageBreakBefore w:val="0"/>
        <w:widowControl w:val="0"/>
        <w:kinsoku/>
        <w:wordWrap/>
        <w:overflowPunct/>
        <w:topLinePunct w:val="0"/>
        <w:autoSpaceDE/>
        <w:autoSpaceDN/>
        <w:bidi w:val="0"/>
        <w:adjustRightInd/>
        <w:spacing w:line="540" w:lineRule="exact"/>
        <w:ind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10.严格落实报告表提出的环境监测计划，按照相关规定定期开展监测工作。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11.建立完善的环境风险防控体系，</w:t>
      </w:r>
      <w:r>
        <w:rPr>
          <w:rFonts w:hint="eastAsia" w:ascii="仿宋_GB2312" w:hAnsi="仿宋_GB2312" w:eastAsia="仿宋_GB2312" w:cs="仿宋_GB2312"/>
          <w:color w:val="auto"/>
          <w:sz w:val="32"/>
          <w:szCs w:val="32"/>
          <w:highlight w:val="none"/>
          <w:lang w:val="en-US" w:eastAsia="zh-CN"/>
        </w:rPr>
        <w:t>配备充足的事故应急物资；</w:t>
      </w:r>
      <w:r>
        <w:rPr>
          <w:rFonts w:hint="eastAsia" w:ascii="仿宋_GB2312" w:hAnsi="仿宋_GB2312" w:eastAsia="仿宋_GB2312" w:cs="仿宋_GB2312"/>
          <w:color w:val="auto"/>
          <w:sz w:val="32"/>
          <w:szCs w:val="32"/>
          <w:highlight w:val="none"/>
          <w:lang w:eastAsia="zh-CN"/>
        </w:rPr>
        <w:t>完善突发环境风险应急预案，报区生态环境局备案；</w:t>
      </w:r>
      <w:r>
        <w:rPr>
          <w:rFonts w:hint="eastAsia" w:ascii="仿宋_GB2312" w:hAnsi="仿宋_GB2312" w:eastAsia="仿宋_GB2312" w:cs="仿宋_GB2312"/>
          <w:color w:val="auto"/>
          <w:sz w:val="32"/>
          <w:szCs w:val="32"/>
          <w:highlight w:val="none"/>
          <w:lang w:val="en-US" w:eastAsia="zh-CN"/>
        </w:rPr>
        <w:t>提高应对突发环境风险事故的处理能力，认真落实风险事故防范措</w:t>
      </w:r>
      <w:r>
        <w:rPr>
          <w:rFonts w:hint="eastAsia" w:ascii="仿宋_GB2312" w:hAnsi="仿宋_GB2312" w:eastAsia="仿宋_GB2312" w:cs="仿宋_GB2312"/>
          <w:color w:val="auto"/>
          <w:sz w:val="32"/>
          <w:szCs w:val="32"/>
          <w:highlight w:val="none"/>
          <w:lang w:eastAsia="zh-CN"/>
        </w:rPr>
        <w:t>施及应急处理措施，</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eastAsia="zh-CN"/>
        </w:rPr>
        <w:t>效防范环境风险，杜绝发生环境事故和次生环境事故。</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color w:val="auto"/>
          <w:sz w:val="32"/>
          <w:szCs w:val="32"/>
        </w:rPr>
        <w:t>建设应严格执行环境保护设施</w:t>
      </w:r>
      <w:r>
        <w:rPr>
          <w:rFonts w:hint="eastAsia" w:ascii="仿宋_GB2312" w:hAnsi="仿宋_GB2312" w:eastAsia="仿宋_GB2312" w:cs="仿宋_GB2312"/>
          <w:sz w:val="32"/>
          <w:szCs w:val="32"/>
        </w:rPr>
        <w:t>与主体</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同时设计、同时施工、同时投产使用的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竣工后，按规定的标准和程序开展环境保护验收，经验收合格后方可正式投入</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的性质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、规模、地点、生产工艺或防治污染的措施发生重大变动，</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重新报批环境影响评价文件。</w:t>
      </w:r>
    </w:p>
    <w:p>
      <w:pPr>
        <w:pStyle w:val="2"/>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四、你公司应在启动生产设施或者发生实际排污之前，按照法律法规要求，做好排污许可管理相关工作。</w:t>
      </w:r>
    </w:p>
    <w:p>
      <w:pPr>
        <w:pageBreakBefore w:val="0"/>
        <w:widowControl w:val="0"/>
        <w:kinsoku/>
        <w:wordWrap/>
        <w:overflowPunct/>
        <w:topLinePunct w:val="0"/>
        <w:autoSpaceDE/>
        <w:autoSpaceDN/>
        <w:bidi w:val="0"/>
        <w:snapToGrid/>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应执行以下标准：</w:t>
      </w:r>
    </w:p>
    <w:p>
      <w:pPr>
        <w:pageBreakBefore w:val="0"/>
        <w:kinsoku/>
        <w:wordWrap/>
        <w:overflowPunct/>
        <w:topLinePunct w:val="0"/>
        <w:autoSpaceDE/>
        <w:autoSpaceDN/>
        <w:bidi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highlight w:val="none"/>
        </w:rPr>
        <w:t>《环境空气质量标准》（</w:t>
      </w:r>
      <w:r>
        <w:rPr>
          <w:rFonts w:hint="eastAsia" w:ascii="仿宋_GB2312" w:hAnsi="仿宋_GB2312" w:eastAsia="仿宋_GB2312" w:cs="仿宋_GB2312"/>
          <w:sz w:val="32"/>
          <w:szCs w:val="32"/>
        </w:rPr>
        <w:t>GB3095-2012</w:t>
      </w:r>
      <w:r>
        <w:rPr>
          <w:rFonts w:hint="eastAsia" w:ascii="仿宋_GB2312" w:hAnsi="仿宋_GB2312" w:eastAsia="仿宋_GB2312" w:cs="仿宋_GB2312"/>
          <w:color w:val="auto"/>
          <w:sz w:val="32"/>
          <w:szCs w:val="32"/>
          <w:highlight w:val="none"/>
        </w:rPr>
        <w:t>）二级</w:t>
      </w:r>
      <w:r>
        <w:rPr>
          <w:rFonts w:hint="eastAsia" w:ascii="仿宋_GB2312" w:hAnsi="仿宋_GB2312" w:eastAsia="仿宋_GB2312" w:cs="仿宋_GB2312"/>
          <w:color w:val="auto"/>
          <w:sz w:val="32"/>
          <w:szCs w:val="32"/>
          <w:highlight w:val="none"/>
          <w:lang w:eastAsia="zh-CN"/>
        </w:rPr>
        <w:t>，硫化氢参照执行《环境影响评价技术导则</w:t>
      </w:r>
      <w:r>
        <w:rPr>
          <w:rFonts w:hint="eastAsia" w:ascii="仿宋_GB2312" w:hAnsi="仿宋_GB2312" w:eastAsia="仿宋_GB2312" w:cs="仿宋_GB2312"/>
          <w:color w:val="auto"/>
          <w:sz w:val="32"/>
          <w:szCs w:val="32"/>
          <w:highlight w:val="none"/>
          <w:lang w:val="en-US" w:eastAsia="zh-CN"/>
        </w:rPr>
        <w:t xml:space="preserve"> 大气环境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HJ2.2-2018</w:t>
      </w:r>
      <w:r>
        <w:rPr>
          <w:rFonts w:hint="eastAsia" w:ascii="仿宋_GB2312" w:hAnsi="仿宋_GB2312" w:eastAsia="仿宋_GB2312" w:cs="仿宋_GB2312"/>
          <w:color w:val="auto"/>
          <w:sz w:val="32"/>
          <w:szCs w:val="32"/>
          <w:highlight w:val="none"/>
          <w:lang w:eastAsia="zh-CN"/>
        </w:rPr>
        <w:t>）附录</w:t>
      </w:r>
      <w:r>
        <w:rPr>
          <w:rFonts w:hint="eastAsia" w:ascii="仿宋_GB2312" w:hAnsi="仿宋_GB2312" w:eastAsia="仿宋_GB2312" w:cs="仿宋_GB2312"/>
          <w:color w:val="auto"/>
          <w:sz w:val="32"/>
          <w:szCs w:val="32"/>
          <w:highlight w:val="none"/>
          <w:lang w:val="en-US" w:eastAsia="zh-CN"/>
        </w:rPr>
        <w:t>D，</w:t>
      </w:r>
      <w:r>
        <w:rPr>
          <w:rFonts w:hint="eastAsia" w:ascii="仿宋_GB2312" w:hAnsi="仿宋_GB2312" w:eastAsia="仿宋_GB2312" w:cs="仿宋_GB2312"/>
          <w:color w:val="auto"/>
          <w:sz w:val="32"/>
          <w:szCs w:val="32"/>
          <w:highlight w:val="none"/>
        </w:rPr>
        <w:t>非甲烷总烃参照执行《大气污染物综合排放标准详解》中相应标准</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《声环境质量标准》（GB3096-2008）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w:t>
      </w:r>
    </w:p>
    <w:p>
      <w:pPr>
        <w:pStyle w:val="3"/>
        <w:pageBreakBefore w:val="0"/>
        <w:kinsoku/>
        <w:wordWrap/>
        <w:overflowPunct/>
        <w:topLinePunct w:val="0"/>
        <w:autoSpaceDE/>
        <w:autoSpaceDN/>
        <w:bidi w:val="0"/>
        <w:spacing w:line="54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color w:val="auto"/>
          <w:sz w:val="32"/>
          <w:szCs w:val="32"/>
          <w:highlight w:val="none"/>
        </w:rPr>
        <w:t>《地下水质量标准》（</w:t>
      </w:r>
      <w:r>
        <w:rPr>
          <w:rFonts w:hint="eastAsia" w:ascii="仿宋_GB2312" w:hAnsi="仿宋_GB2312" w:eastAsia="仿宋_GB2312" w:cs="仿宋_GB2312"/>
          <w:kern w:val="2"/>
          <w:sz w:val="32"/>
          <w:szCs w:val="32"/>
          <w:lang w:val="en-US" w:eastAsia="zh-CN" w:bidi="ar-SA"/>
        </w:rPr>
        <w:t>GB/T14848-2017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、《地表水环境质量标准》（</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3838</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Style w:val="3"/>
        <w:pageBreakBefore w:val="0"/>
        <w:kinsoku/>
        <w:wordWrap/>
        <w:overflowPunct/>
        <w:topLinePunct w:val="0"/>
        <w:autoSpaceDE/>
        <w:autoSpaceDN/>
        <w:bidi w:val="0"/>
        <w:spacing w:line="54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《土壤环境质量 建设用地土壤污染风险管控标准（试行）》（</w:t>
      </w:r>
      <w:r>
        <w:rPr>
          <w:rFonts w:hint="eastAsia" w:ascii="仿宋_GB2312" w:hAnsi="仿宋_GB2312" w:eastAsia="仿宋_GB2312" w:cs="仿宋_GB2312"/>
          <w:kern w:val="2"/>
          <w:sz w:val="32"/>
          <w:szCs w:val="32"/>
          <w:lang w:val="en-US" w:eastAsia="zh-CN" w:bidi="ar-SA"/>
        </w:rPr>
        <w:t>GB36600-2018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《土壤环境质量 建设用地土壤污染风险管控标准》（</w:t>
      </w:r>
      <w:r>
        <w:rPr>
          <w:rFonts w:hint="eastAsia" w:ascii="仿宋_GB2312" w:hAnsi="仿宋_GB2312" w:eastAsia="仿宋_GB2312" w:cs="仿宋_GB2312"/>
          <w:kern w:val="2"/>
          <w:sz w:val="32"/>
          <w:szCs w:val="32"/>
          <w:lang w:val="en-US" w:eastAsia="zh-CN" w:bidi="ar-SA"/>
        </w:rPr>
        <w:t>DB12/1311-2024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pStyle w:val="3"/>
        <w:pageBreakBefore w:val="0"/>
        <w:kinsoku/>
        <w:wordWrap/>
        <w:overflowPunct/>
        <w:topLinePunct w:val="0"/>
        <w:autoSpaceDE/>
        <w:autoSpaceDN/>
        <w:bidi w:val="0"/>
        <w:spacing w:line="54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5.加热炉废气执行《工业炉窑大气污染物综合排放标准》（</w:t>
      </w:r>
      <w:r>
        <w:rPr>
          <w:rFonts w:hint="eastAsia" w:ascii="仿宋_GB2312" w:hAnsi="仿宋_GB2312" w:eastAsia="仿宋_GB2312" w:cs="仿宋_GB2312"/>
          <w:kern w:val="2"/>
          <w:sz w:val="32"/>
          <w:szCs w:val="32"/>
          <w:lang w:val="en-US" w:eastAsia="zh-CN" w:bidi="ar-SA"/>
        </w:rPr>
        <w:t>DB12/556-2015</w:t>
      </w:r>
      <w:r>
        <w:rPr>
          <w:rFonts w:hint="eastAsia" w:ascii="仿宋_GB2312" w:hAnsi="仿宋_GB2312" w:eastAsia="仿宋_GB2312" w:cs="仿宋_GB2312"/>
          <w:color w:val="auto"/>
          <w:sz w:val="32"/>
          <w:szCs w:val="32"/>
          <w:highlight w:val="none"/>
          <w:lang w:val="en-US" w:eastAsia="zh-CN"/>
        </w:rPr>
        <w:t>），溴化锂直燃机排放的废气执行《锅炉大气污染物排放标准》（</w:t>
      </w:r>
      <w:r>
        <w:rPr>
          <w:rFonts w:hint="eastAsia" w:ascii="仿宋_GB2312" w:hAnsi="仿宋_GB2312" w:eastAsia="仿宋_GB2312" w:cs="仿宋_GB2312"/>
          <w:kern w:val="2"/>
          <w:sz w:val="32"/>
          <w:szCs w:val="32"/>
          <w:lang w:val="en-US" w:eastAsia="zh-CN" w:bidi="ar-SA"/>
        </w:rPr>
        <w:t>DB12/151-2020</w:t>
      </w:r>
      <w:r>
        <w:rPr>
          <w:rFonts w:hint="eastAsia" w:ascii="仿宋_GB2312" w:hAnsi="仿宋_GB2312" w:eastAsia="仿宋_GB2312" w:cs="仿宋_GB2312"/>
          <w:color w:val="auto"/>
          <w:sz w:val="32"/>
          <w:szCs w:val="32"/>
          <w:highlight w:val="none"/>
          <w:lang w:val="en-US" w:eastAsia="zh-CN"/>
        </w:rPr>
        <w:t>），实验室排放废气执行</w:t>
      </w:r>
      <w:r>
        <w:rPr>
          <w:rFonts w:hint="eastAsia" w:ascii="仿宋_GB2312" w:hAnsi="仿宋_GB2312" w:eastAsia="仿宋_GB2312" w:cs="仿宋_GB2312"/>
          <w:bCs/>
          <w:sz w:val="32"/>
          <w:szCs w:val="32"/>
          <w:highlight w:val="none"/>
        </w:rPr>
        <w:t>《工业企业挥发性有机物排放控制标准》（DB12/524-2020）</w:t>
      </w:r>
      <w:r>
        <w:rPr>
          <w:rFonts w:hint="eastAsia" w:ascii="仿宋_GB2312" w:hAnsi="仿宋_GB2312" w:eastAsia="仿宋_GB2312" w:cs="仿宋_GB2312"/>
          <w:color w:val="auto"/>
          <w:sz w:val="32"/>
          <w:szCs w:val="32"/>
          <w:highlight w:val="none"/>
          <w:lang w:val="en-US"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厂界非甲烷总烃无组织排放执行《</w:t>
      </w:r>
      <w:r>
        <w:rPr>
          <w:rFonts w:hint="eastAsia" w:ascii="仿宋_GB2312" w:hAnsi="仿宋_GB2312" w:eastAsia="仿宋_GB2312" w:cs="仿宋_GB2312"/>
          <w:sz w:val="32"/>
          <w:szCs w:val="32"/>
          <w:lang w:eastAsia="zh-CN"/>
        </w:rPr>
        <w:t>陆上石油天然气开采工业大气污染物</w:t>
      </w:r>
      <w:r>
        <w:rPr>
          <w:rFonts w:hint="eastAsia" w:ascii="仿宋_GB2312" w:hAnsi="仿宋_GB2312" w:eastAsia="仿宋_GB2312" w:cs="仿宋_GB2312"/>
          <w:sz w:val="32"/>
          <w:szCs w:val="32"/>
        </w:rPr>
        <w:t>排放标准》（</w:t>
      </w:r>
      <w:r>
        <w:rPr>
          <w:rFonts w:hint="eastAsia" w:ascii="仿宋_GB2312" w:hAnsi="仿宋_GB2312" w:eastAsia="仿宋_GB2312" w:cs="仿宋_GB2312"/>
          <w:kern w:val="2"/>
          <w:sz w:val="32"/>
          <w:szCs w:val="32"/>
          <w:lang w:val="en-US" w:eastAsia="zh-CN" w:bidi="ar-SA"/>
        </w:rPr>
        <w:t>GB39728-2020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，厂界硫化氢执行</w:t>
      </w:r>
      <w:r>
        <w:rPr>
          <w:rFonts w:hint="eastAsia" w:ascii="仿宋_GB2312" w:hAnsi="仿宋_GB2312" w:eastAsia="仿宋_GB2312" w:cs="仿宋_GB2312"/>
          <w:bCs/>
          <w:sz w:val="32"/>
          <w:szCs w:val="32"/>
          <w:highlight w:val="none"/>
        </w:rPr>
        <w:t>《恶臭污染物排放标准》（DB12/059-2018）</w:t>
      </w:r>
      <w:r>
        <w:rPr>
          <w:rFonts w:hint="eastAsia" w:ascii="仿宋_GB2312" w:hAnsi="仿宋_GB2312" w:eastAsia="仿宋_GB2312" w:cs="仿宋_GB2312"/>
          <w:bCs/>
          <w:sz w:val="32"/>
          <w:szCs w:val="32"/>
          <w:highlight w:val="none"/>
          <w:lang w:eastAsia="zh-CN"/>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外排废水总排口执行</w:t>
      </w:r>
      <w:r>
        <w:rPr>
          <w:rFonts w:hint="eastAsia" w:ascii="Times New Roman" w:eastAsia="仿宋_GB2312"/>
          <w:kern w:val="2"/>
          <w:sz w:val="32"/>
          <w:szCs w:val="32"/>
          <w:lang w:val="en-US" w:eastAsia="zh-CN" w:bidi="ar-SA"/>
        </w:rPr>
        <w:t>《污水综合排放标准》（DB12/356-2018）三级</w:t>
      </w:r>
      <w:r>
        <w:rPr>
          <w:rFonts w:hint="eastAsia" w:eastAsia="仿宋_GB2312"/>
          <w:kern w:val="2"/>
          <w:sz w:val="32"/>
          <w:szCs w:val="32"/>
          <w:lang w:val="en-US" w:eastAsia="zh-CN" w:bidi="ar-SA"/>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《工业企业厂界环境噪声排放标准》（GB12348-2008）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筑施工场界环境噪声排放标准》（GB12523-2011）</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《一般工业固体废物贮存</w:t>
      </w:r>
      <w:r>
        <w:rPr>
          <w:rFonts w:hint="eastAsia" w:ascii="仿宋_GB2312" w:hAnsi="仿宋_GB2312" w:eastAsia="仿宋_GB2312" w:cs="仿宋_GB2312"/>
          <w:sz w:val="32"/>
          <w:szCs w:val="32"/>
          <w:highlight w:val="none"/>
          <w:lang w:eastAsia="zh-CN"/>
        </w:rPr>
        <w:t>和填埋</w:t>
      </w:r>
      <w:r>
        <w:rPr>
          <w:rFonts w:hint="eastAsia" w:ascii="仿宋_GB2312" w:hAnsi="仿宋_GB2312" w:eastAsia="仿宋_GB2312" w:cs="仿宋_GB2312"/>
          <w:sz w:val="32"/>
          <w:szCs w:val="32"/>
          <w:highlight w:val="none"/>
        </w:rPr>
        <w:t>污染控制标准》（</w:t>
      </w:r>
      <w:r>
        <w:rPr>
          <w:rFonts w:hint="eastAsia" w:ascii="仿宋_GB2312" w:hAnsi="仿宋_GB2312" w:eastAsia="仿宋_GB2312" w:cs="仿宋_GB2312"/>
          <w:kern w:val="2"/>
          <w:sz w:val="32"/>
          <w:szCs w:val="32"/>
          <w:lang w:val="en-US" w:eastAsia="zh-CN" w:bidi="ar-SA"/>
        </w:rPr>
        <w:t>GB18599-2020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《危险废物贮存污染控制标准》（</w:t>
      </w:r>
      <w:r>
        <w:rPr>
          <w:rFonts w:hint="eastAsia" w:ascii="仿宋_GB2312" w:hAnsi="仿宋_GB2312" w:eastAsia="仿宋_GB2312" w:cs="仿宋_GB2312"/>
          <w:kern w:val="2"/>
          <w:sz w:val="32"/>
          <w:szCs w:val="32"/>
          <w:lang w:val="en-US" w:eastAsia="zh-CN" w:bidi="ar-SA"/>
        </w:rPr>
        <w:t>GB18597-2023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kern w:val="2"/>
          <w:sz w:val="32"/>
          <w:szCs w:val="32"/>
          <w:highlight w:val="none"/>
          <w:lang w:val="en-US" w:eastAsia="zh-CN" w:bidi="ar-SA"/>
        </w:rPr>
        <w:t>《危险废物收集 贮存 运输技术规范》（</w:t>
      </w:r>
      <w:r>
        <w:rPr>
          <w:rFonts w:hint="eastAsia" w:ascii="仿宋_GB2312" w:hAnsi="仿宋_GB2312" w:eastAsia="仿宋_GB2312" w:cs="仿宋_GB2312"/>
          <w:kern w:val="2"/>
          <w:sz w:val="32"/>
          <w:szCs w:val="32"/>
          <w:lang w:val="en-US" w:eastAsia="zh-CN" w:bidi="ar-SA"/>
        </w:rPr>
        <w:t>HJ2025-2012</w:t>
      </w:r>
      <w:r>
        <w:rPr>
          <w:rFonts w:hint="eastAsia" w:ascii="仿宋_GB2312" w:hAnsi="仿宋_GB2312" w:eastAsia="仿宋_GB2312" w:cs="仿宋_GB2312"/>
          <w:kern w:val="2"/>
          <w:sz w:val="32"/>
          <w:szCs w:val="32"/>
          <w:highlight w:val="none"/>
          <w:lang w:val="en-US" w:eastAsia="zh-CN" w:bidi="ar-SA"/>
        </w:rPr>
        <w:t>）；</w:t>
      </w:r>
    </w:p>
    <w:p>
      <w:pPr>
        <w:pageBreakBefore w:val="0"/>
        <w:widowControl w:val="0"/>
        <w:kinsoku/>
        <w:wordWrap/>
        <w:overflowPunct/>
        <w:topLinePunct w:val="0"/>
        <w:autoSpaceDE/>
        <w:autoSpaceDN/>
        <w:bidi w:val="0"/>
        <w:adjustRightInd/>
        <w:snapToGrid/>
        <w:spacing w:line="540" w:lineRule="exact"/>
        <w:ind w:firstLine="63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highlight w:val="none"/>
          <w:lang w:val="en-US" w:eastAsia="zh-CN" w:bidi="ar-SA"/>
        </w:rPr>
        <w:t>13.</w:t>
      </w:r>
      <w:r>
        <w:rPr>
          <w:rFonts w:hint="default" w:ascii="Times New Roman" w:hAnsi="Times New Roman" w:eastAsia="仿宋_GB2312" w:cs="Times New Roman"/>
          <w:sz w:val="32"/>
          <w:szCs w:val="32"/>
        </w:rPr>
        <w:t>《电磁环境控制限值》（GB8702-2014）</w:t>
      </w:r>
      <w:r>
        <w:rPr>
          <w:rFonts w:hint="eastAsia" w:ascii="仿宋_GB2312" w:hAnsi="仿宋_GB2312" w:eastAsia="仿宋_GB2312" w:cs="仿宋_GB2312"/>
          <w:sz w:val="32"/>
          <w:szCs w:val="32"/>
          <w:highlight w:val="none"/>
        </w:rPr>
        <w:t>。</w:t>
      </w:r>
    </w:p>
    <w:p>
      <w:pPr>
        <w:pageBreakBefore w:val="0"/>
        <w:widowControl w:val="0"/>
        <w:kinsoku/>
        <w:wordWrap/>
        <w:overflowPunct/>
        <w:topLinePunct w:val="0"/>
        <w:autoSpaceDE/>
        <w:autoSpaceDN/>
        <w:bidi w:val="0"/>
        <w:snapToGrid/>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此复</w:t>
      </w:r>
      <w:r>
        <w:rPr>
          <w:rFonts w:hint="eastAsia" w:ascii="仿宋_GB2312" w:hAnsi="仿宋_GB2312" w:eastAsia="仿宋_GB2312" w:cs="仿宋_GB2312"/>
          <w:sz w:val="32"/>
          <w:szCs w:val="32"/>
          <w:lang w:eastAsia="zh-CN"/>
        </w:rPr>
        <w:t>。</w:t>
      </w:r>
    </w:p>
    <w:p>
      <w:pPr>
        <w:rPr>
          <w:rFonts w:hint="eastAsia"/>
        </w:rPr>
      </w:pPr>
    </w:p>
    <w:p/>
    <w:p>
      <w:pPr>
        <w:pStyle w:val="2"/>
      </w:pPr>
    </w:p>
    <w:p>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rPr>
          <w:rFonts w:hint="eastAsia"/>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仿宋">
    <w:altName w:val="仿宋"/>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30C86"/>
    <w:rsid w:val="017D0E60"/>
    <w:rsid w:val="01CF4B91"/>
    <w:rsid w:val="01EF2326"/>
    <w:rsid w:val="022C4AC3"/>
    <w:rsid w:val="03171546"/>
    <w:rsid w:val="031C0752"/>
    <w:rsid w:val="03EA0063"/>
    <w:rsid w:val="04970BC1"/>
    <w:rsid w:val="04AD0797"/>
    <w:rsid w:val="051540DF"/>
    <w:rsid w:val="055B743F"/>
    <w:rsid w:val="055D49DC"/>
    <w:rsid w:val="064674E7"/>
    <w:rsid w:val="079075EF"/>
    <w:rsid w:val="07CF6683"/>
    <w:rsid w:val="08A27CFE"/>
    <w:rsid w:val="08CC7EF8"/>
    <w:rsid w:val="08CE0793"/>
    <w:rsid w:val="098451FC"/>
    <w:rsid w:val="0A616717"/>
    <w:rsid w:val="0A7B58F8"/>
    <w:rsid w:val="0A993ECD"/>
    <w:rsid w:val="0AAC2356"/>
    <w:rsid w:val="0AFD432E"/>
    <w:rsid w:val="0B0D5A13"/>
    <w:rsid w:val="0B6D14B7"/>
    <w:rsid w:val="0BBB7DA4"/>
    <w:rsid w:val="0C2E1BB9"/>
    <w:rsid w:val="0C7B1B6D"/>
    <w:rsid w:val="0CD111DE"/>
    <w:rsid w:val="0D777966"/>
    <w:rsid w:val="0D885FD0"/>
    <w:rsid w:val="0DA17C0A"/>
    <w:rsid w:val="0DA30438"/>
    <w:rsid w:val="0E491814"/>
    <w:rsid w:val="0EA6106F"/>
    <w:rsid w:val="0F15100D"/>
    <w:rsid w:val="0F352BB3"/>
    <w:rsid w:val="0FA859B9"/>
    <w:rsid w:val="0FAF67EF"/>
    <w:rsid w:val="0FBF42EC"/>
    <w:rsid w:val="116C5664"/>
    <w:rsid w:val="11C60BBF"/>
    <w:rsid w:val="11D91F41"/>
    <w:rsid w:val="126758C9"/>
    <w:rsid w:val="13510475"/>
    <w:rsid w:val="135F4C81"/>
    <w:rsid w:val="138327ED"/>
    <w:rsid w:val="13836188"/>
    <w:rsid w:val="13D473DF"/>
    <w:rsid w:val="14367871"/>
    <w:rsid w:val="149802DC"/>
    <w:rsid w:val="1518002A"/>
    <w:rsid w:val="15794D99"/>
    <w:rsid w:val="15C76F90"/>
    <w:rsid w:val="15DE40BE"/>
    <w:rsid w:val="16420B4B"/>
    <w:rsid w:val="17977B39"/>
    <w:rsid w:val="17B46048"/>
    <w:rsid w:val="180E7B33"/>
    <w:rsid w:val="184D3DB0"/>
    <w:rsid w:val="18865F91"/>
    <w:rsid w:val="18B55B11"/>
    <w:rsid w:val="19827E91"/>
    <w:rsid w:val="19B95B36"/>
    <w:rsid w:val="19C23FA1"/>
    <w:rsid w:val="1A717F2E"/>
    <w:rsid w:val="1A9543CB"/>
    <w:rsid w:val="1ADD0573"/>
    <w:rsid w:val="1B164FFC"/>
    <w:rsid w:val="1B287C5C"/>
    <w:rsid w:val="1BEC41F5"/>
    <w:rsid w:val="1C8B78C3"/>
    <w:rsid w:val="1C9937E8"/>
    <w:rsid w:val="1D2C16B2"/>
    <w:rsid w:val="1D732228"/>
    <w:rsid w:val="1D992813"/>
    <w:rsid w:val="1DB06E96"/>
    <w:rsid w:val="1E742A13"/>
    <w:rsid w:val="1E8563FC"/>
    <w:rsid w:val="1E860E96"/>
    <w:rsid w:val="1F3259C6"/>
    <w:rsid w:val="1F643E9E"/>
    <w:rsid w:val="21793149"/>
    <w:rsid w:val="217E0DA2"/>
    <w:rsid w:val="21B30864"/>
    <w:rsid w:val="21D74401"/>
    <w:rsid w:val="220D79D5"/>
    <w:rsid w:val="225D6076"/>
    <w:rsid w:val="228D1920"/>
    <w:rsid w:val="235F1C43"/>
    <w:rsid w:val="246E51C2"/>
    <w:rsid w:val="24EC1C67"/>
    <w:rsid w:val="251F2C93"/>
    <w:rsid w:val="25930AA1"/>
    <w:rsid w:val="25B77F28"/>
    <w:rsid w:val="261C2711"/>
    <w:rsid w:val="2629371B"/>
    <w:rsid w:val="26333F5B"/>
    <w:rsid w:val="264C63DC"/>
    <w:rsid w:val="27927955"/>
    <w:rsid w:val="27DF6D5B"/>
    <w:rsid w:val="28995892"/>
    <w:rsid w:val="28A50490"/>
    <w:rsid w:val="28CF795A"/>
    <w:rsid w:val="290416FB"/>
    <w:rsid w:val="2A8E570B"/>
    <w:rsid w:val="2AA44376"/>
    <w:rsid w:val="2B454D2A"/>
    <w:rsid w:val="2B5A4C61"/>
    <w:rsid w:val="2B892A8E"/>
    <w:rsid w:val="2DA85F50"/>
    <w:rsid w:val="2DE85F13"/>
    <w:rsid w:val="2E0E42AB"/>
    <w:rsid w:val="2E727497"/>
    <w:rsid w:val="2EC823DC"/>
    <w:rsid w:val="2FC339E9"/>
    <w:rsid w:val="31140AC3"/>
    <w:rsid w:val="315B3926"/>
    <w:rsid w:val="31C439B0"/>
    <w:rsid w:val="31D3618D"/>
    <w:rsid w:val="31E47D3B"/>
    <w:rsid w:val="31F61C3D"/>
    <w:rsid w:val="330A7AD7"/>
    <w:rsid w:val="332B125E"/>
    <w:rsid w:val="334140DE"/>
    <w:rsid w:val="33937C59"/>
    <w:rsid w:val="33CC3E98"/>
    <w:rsid w:val="33DB2CF2"/>
    <w:rsid w:val="34D7709C"/>
    <w:rsid w:val="34DD613F"/>
    <w:rsid w:val="35085D78"/>
    <w:rsid w:val="3536679E"/>
    <w:rsid w:val="363A6E8C"/>
    <w:rsid w:val="3678062E"/>
    <w:rsid w:val="36C90A0F"/>
    <w:rsid w:val="36FB7479"/>
    <w:rsid w:val="37FD68A6"/>
    <w:rsid w:val="39270876"/>
    <w:rsid w:val="393B4C3B"/>
    <w:rsid w:val="3982447C"/>
    <w:rsid w:val="39851AEA"/>
    <w:rsid w:val="399A2EB5"/>
    <w:rsid w:val="39F65961"/>
    <w:rsid w:val="3A87413A"/>
    <w:rsid w:val="3B9F7077"/>
    <w:rsid w:val="3BFBE9DD"/>
    <w:rsid w:val="3C0B33E8"/>
    <w:rsid w:val="3C491AF5"/>
    <w:rsid w:val="3C8B0844"/>
    <w:rsid w:val="3CB16EAA"/>
    <w:rsid w:val="3D1B42E3"/>
    <w:rsid w:val="3D8D3BBB"/>
    <w:rsid w:val="3DB85996"/>
    <w:rsid w:val="3DFB9E8A"/>
    <w:rsid w:val="3E053D44"/>
    <w:rsid w:val="3E6B05F3"/>
    <w:rsid w:val="3E6DB9E0"/>
    <w:rsid w:val="3ECB1DCB"/>
    <w:rsid w:val="3FB554E3"/>
    <w:rsid w:val="3FFD240B"/>
    <w:rsid w:val="3FFDA9E2"/>
    <w:rsid w:val="40B11A8F"/>
    <w:rsid w:val="41003327"/>
    <w:rsid w:val="419A35AC"/>
    <w:rsid w:val="41BA15F9"/>
    <w:rsid w:val="420A2FF8"/>
    <w:rsid w:val="42195A6A"/>
    <w:rsid w:val="422714DC"/>
    <w:rsid w:val="42305D37"/>
    <w:rsid w:val="423E4456"/>
    <w:rsid w:val="43AE49AE"/>
    <w:rsid w:val="43B7193E"/>
    <w:rsid w:val="43D45AAE"/>
    <w:rsid w:val="445E7430"/>
    <w:rsid w:val="449B45DA"/>
    <w:rsid w:val="44A4730E"/>
    <w:rsid w:val="44F21C4B"/>
    <w:rsid w:val="45AD6951"/>
    <w:rsid w:val="463C00DC"/>
    <w:rsid w:val="464E75B6"/>
    <w:rsid w:val="46964440"/>
    <w:rsid w:val="46DC7B10"/>
    <w:rsid w:val="47221287"/>
    <w:rsid w:val="47845592"/>
    <w:rsid w:val="483B3434"/>
    <w:rsid w:val="485477BF"/>
    <w:rsid w:val="485D46A3"/>
    <w:rsid w:val="48B431C7"/>
    <w:rsid w:val="48C10798"/>
    <w:rsid w:val="48E249BB"/>
    <w:rsid w:val="48E41E9D"/>
    <w:rsid w:val="48FA1C41"/>
    <w:rsid w:val="48FC209F"/>
    <w:rsid w:val="49A0744E"/>
    <w:rsid w:val="49F8121C"/>
    <w:rsid w:val="4A13595D"/>
    <w:rsid w:val="4AE83298"/>
    <w:rsid w:val="4B106CD2"/>
    <w:rsid w:val="4B3B1AF7"/>
    <w:rsid w:val="4B5A385C"/>
    <w:rsid w:val="4B8B2F0D"/>
    <w:rsid w:val="4C895B69"/>
    <w:rsid w:val="4D7A256B"/>
    <w:rsid w:val="4E8945D0"/>
    <w:rsid w:val="4EA51583"/>
    <w:rsid w:val="4F016F2E"/>
    <w:rsid w:val="4F9E2FE4"/>
    <w:rsid w:val="502925FF"/>
    <w:rsid w:val="50C54397"/>
    <w:rsid w:val="50D413E4"/>
    <w:rsid w:val="517F3AB5"/>
    <w:rsid w:val="51872AF4"/>
    <w:rsid w:val="51A96376"/>
    <w:rsid w:val="51DD250C"/>
    <w:rsid w:val="51F37B94"/>
    <w:rsid w:val="51FF48CF"/>
    <w:rsid w:val="5261193E"/>
    <w:rsid w:val="52B31C66"/>
    <w:rsid w:val="53333171"/>
    <w:rsid w:val="53334AA9"/>
    <w:rsid w:val="537F0991"/>
    <w:rsid w:val="541A70D3"/>
    <w:rsid w:val="549A53C8"/>
    <w:rsid w:val="55E60C13"/>
    <w:rsid w:val="55EA59D7"/>
    <w:rsid w:val="56112734"/>
    <w:rsid w:val="56266096"/>
    <w:rsid w:val="562D4626"/>
    <w:rsid w:val="567E48CA"/>
    <w:rsid w:val="569F3A93"/>
    <w:rsid w:val="56F00E14"/>
    <w:rsid w:val="574B7843"/>
    <w:rsid w:val="5750757E"/>
    <w:rsid w:val="57997CF2"/>
    <w:rsid w:val="581A10A7"/>
    <w:rsid w:val="582072E8"/>
    <w:rsid w:val="585F254A"/>
    <w:rsid w:val="58AB2C8F"/>
    <w:rsid w:val="59465D4C"/>
    <w:rsid w:val="59A10B54"/>
    <w:rsid w:val="59D31C90"/>
    <w:rsid w:val="5A9211A0"/>
    <w:rsid w:val="5ADD6D22"/>
    <w:rsid w:val="5BB400A8"/>
    <w:rsid w:val="5BDC71FB"/>
    <w:rsid w:val="5BF87ACE"/>
    <w:rsid w:val="5C026973"/>
    <w:rsid w:val="5CBA055A"/>
    <w:rsid w:val="5CDE4F54"/>
    <w:rsid w:val="5CE11D93"/>
    <w:rsid w:val="5D1A2FE5"/>
    <w:rsid w:val="5DB84FA9"/>
    <w:rsid w:val="5DFBB8A9"/>
    <w:rsid w:val="5E0A1E6D"/>
    <w:rsid w:val="5E142633"/>
    <w:rsid w:val="5E2A6CFE"/>
    <w:rsid w:val="5E826290"/>
    <w:rsid w:val="5F9A6485"/>
    <w:rsid w:val="6192318B"/>
    <w:rsid w:val="619F7DE0"/>
    <w:rsid w:val="61C13103"/>
    <w:rsid w:val="61EB4538"/>
    <w:rsid w:val="61F11BB7"/>
    <w:rsid w:val="628A6975"/>
    <w:rsid w:val="62F9157D"/>
    <w:rsid w:val="63A519FA"/>
    <w:rsid w:val="63C42AC6"/>
    <w:rsid w:val="64184EA5"/>
    <w:rsid w:val="64EB5531"/>
    <w:rsid w:val="661F34CF"/>
    <w:rsid w:val="66266990"/>
    <w:rsid w:val="67777536"/>
    <w:rsid w:val="67C43BD1"/>
    <w:rsid w:val="67E05022"/>
    <w:rsid w:val="68297EB5"/>
    <w:rsid w:val="686A0B4A"/>
    <w:rsid w:val="68AA5D3E"/>
    <w:rsid w:val="68CD0632"/>
    <w:rsid w:val="6A68020F"/>
    <w:rsid w:val="6B622B93"/>
    <w:rsid w:val="6CBE07C5"/>
    <w:rsid w:val="6CD80DA2"/>
    <w:rsid w:val="6CE124F8"/>
    <w:rsid w:val="6D424E4C"/>
    <w:rsid w:val="6D530756"/>
    <w:rsid w:val="6D724365"/>
    <w:rsid w:val="6DB45008"/>
    <w:rsid w:val="6F2605FE"/>
    <w:rsid w:val="6F4020DE"/>
    <w:rsid w:val="6FBF2C4B"/>
    <w:rsid w:val="6FF3011B"/>
    <w:rsid w:val="6FFEDC89"/>
    <w:rsid w:val="706E47D2"/>
    <w:rsid w:val="71B60E95"/>
    <w:rsid w:val="71F065BA"/>
    <w:rsid w:val="71F78021"/>
    <w:rsid w:val="720B3587"/>
    <w:rsid w:val="729829D6"/>
    <w:rsid w:val="73067FA2"/>
    <w:rsid w:val="734D635D"/>
    <w:rsid w:val="735D6A13"/>
    <w:rsid w:val="73935D89"/>
    <w:rsid w:val="73C20023"/>
    <w:rsid w:val="73C90575"/>
    <w:rsid w:val="74235FBB"/>
    <w:rsid w:val="7458541A"/>
    <w:rsid w:val="7479752E"/>
    <w:rsid w:val="747B5FDA"/>
    <w:rsid w:val="748618C1"/>
    <w:rsid w:val="753FB3D7"/>
    <w:rsid w:val="758B6B4F"/>
    <w:rsid w:val="75C173E7"/>
    <w:rsid w:val="75F63195"/>
    <w:rsid w:val="76A77C9C"/>
    <w:rsid w:val="76D4578A"/>
    <w:rsid w:val="770549E7"/>
    <w:rsid w:val="770574A0"/>
    <w:rsid w:val="77455BC1"/>
    <w:rsid w:val="77BD31CC"/>
    <w:rsid w:val="77DF0639"/>
    <w:rsid w:val="77FE8FAC"/>
    <w:rsid w:val="78241FCC"/>
    <w:rsid w:val="787E122A"/>
    <w:rsid w:val="78B56081"/>
    <w:rsid w:val="78E801FC"/>
    <w:rsid w:val="7A134250"/>
    <w:rsid w:val="7A4D29BF"/>
    <w:rsid w:val="7B8739E8"/>
    <w:rsid w:val="7BBFFFB4"/>
    <w:rsid w:val="7C3E25F6"/>
    <w:rsid w:val="7C4F638F"/>
    <w:rsid w:val="7D123060"/>
    <w:rsid w:val="7DFF9BBF"/>
    <w:rsid w:val="7E2350C7"/>
    <w:rsid w:val="7E5A7711"/>
    <w:rsid w:val="7E6C59D9"/>
    <w:rsid w:val="7EBB5053"/>
    <w:rsid w:val="7F8A428C"/>
    <w:rsid w:val="7FBB508F"/>
    <w:rsid w:val="7FD231E4"/>
    <w:rsid w:val="AB8FC51D"/>
    <w:rsid w:val="B7FC8A41"/>
    <w:rsid w:val="DFF779CE"/>
    <w:rsid w:val="E78B9165"/>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8"/>
    <w:link w:val="5"/>
    <w:qFormat/>
    <w:uiPriority w:val="0"/>
    <w:rPr>
      <w:kern w:val="2"/>
      <w:sz w:val="18"/>
      <w:szCs w:val="18"/>
    </w:rPr>
  </w:style>
  <w:style w:type="character" w:customStyle="1" w:styleId="15">
    <w:name w:val="页眉 Char"/>
    <w:basedOn w:val="8"/>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7">
    <w:name w:val="环评正文"/>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261</TotalTime>
  <ScaleCrop>false</ScaleCrop>
  <LinksUpToDate>false</LinksUpToDate>
  <CharactersWithSpaces>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2014-05-24T17:22:00Z</dcterms:created>
  <dc:creator>张明蕾</dc:creator>
  <cp:lastModifiedBy>许微</cp:lastModifiedBy>
  <cp:lastPrinted>2024-12-04T19:07:00Z</cp:lastPrinted>
  <dcterms:modified xsi:type="dcterms:W3CDTF">2024-12-06T10:08:31Z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3B557C2A88BC4209BBDF49C93F4E822E_13</vt:lpwstr>
  </property>
</Properties>
</file>