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eastAsia="方正小标宋简体" w:cs="Times New Roman"/>
          <w:color w:val="000000"/>
          <w:sz w:val="44"/>
          <w:lang w:val="en-US" w:eastAsia="zh-CN"/>
        </w:rPr>
        <w:t>华宇（天津）环保科技有限公司年产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eastAsia" w:eastAsia="方正小标宋简体" w:cs="Times New Roman"/>
          <w:color w:val="000000"/>
          <w:sz w:val="44"/>
          <w:lang w:val="en-US" w:eastAsia="zh-CN"/>
        </w:rPr>
        <w:t>活性炭0.9万吨项目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报告表的批复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华宇（天津）环保科技有限公司：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呈报的《</w:t>
      </w:r>
      <w:r>
        <w:rPr>
          <w:rFonts w:hint="eastAsia" w:eastAsia="仿宋_GB2312"/>
          <w:sz w:val="32"/>
          <w:szCs w:val="32"/>
          <w:lang w:eastAsia="zh-CN"/>
        </w:rPr>
        <w:t>关于年产活性炭0.9万吨</w:t>
      </w:r>
      <w:r>
        <w:rPr>
          <w:rFonts w:eastAsia="仿宋_GB2312"/>
          <w:sz w:val="32"/>
          <w:szCs w:val="32"/>
        </w:rPr>
        <w:t>环境影响报告表的</w:t>
      </w:r>
      <w:r>
        <w:rPr>
          <w:rFonts w:hint="eastAsia" w:eastAsia="仿宋_GB2312"/>
          <w:sz w:val="32"/>
          <w:szCs w:val="32"/>
          <w:lang w:val="en-US" w:eastAsia="zh-CN"/>
        </w:rPr>
        <w:t>请示</w:t>
      </w:r>
      <w:r>
        <w:rPr>
          <w:rFonts w:eastAsia="仿宋_GB2312"/>
          <w:sz w:val="32"/>
          <w:szCs w:val="32"/>
        </w:rPr>
        <w:t>》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天津众峰环保科技有限公司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年产活性炭0.9万吨</w:t>
      </w:r>
      <w:r>
        <w:rPr>
          <w:rFonts w:eastAsia="仿宋_GB2312"/>
          <w:sz w:val="32"/>
          <w:szCs w:val="32"/>
        </w:rPr>
        <w:t>环境影响报告表》</w:t>
      </w:r>
      <w:r>
        <w:rPr>
          <w:rFonts w:hint="eastAsia" w:eastAsia="仿宋_GB2312"/>
          <w:sz w:val="32"/>
          <w:szCs w:val="32"/>
          <w:lang w:val="en-US" w:eastAsia="zh-CN"/>
        </w:rPr>
        <w:t>等材料</w:t>
      </w:r>
      <w:r>
        <w:rPr>
          <w:rFonts w:eastAsia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hint="eastAsia" w:eastAsia="仿宋_GB2312"/>
          <w:bCs/>
          <w:sz w:val="32"/>
          <w:szCs w:val="32"/>
        </w:rPr>
        <w:t>租赁天津市</w:t>
      </w:r>
      <w:r>
        <w:rPr>
          <w:rFonts w:hint="eastAsia" w:eastAsia="仿宋_GB2312"/>
          <w:bCs/>
          <w:sz w:val="32"/>
          <w:szCs w:val="32"/>
          <w:lang w:val="en-US" w:eastAsia="zh-CN"/>
        </w:rPr>
        <w:t>滨海新区精益熔炼厂</w:t>
      </w:r>
      <w:r>
        <w:rPr>
          <w:rFonts w:hint="eastAsia" w:eastAsia="仿宋_GB2312"/>
          <w:bCs/>
          <w:sz w:val="32"/>
          <w:szCs w:val="32"/>
          <w:lang w:eastAsia="zh-CN"/>
        </w:rPr>
        <w:t>（位于</w:t>
      </w:r>
      <w:r>
        <w:rPr>
          <w:rFonts w:hint="eastAsia" w:eastAsia="仿宋_GB2312"/>
          <w:bCs/>
          <w:sz w:val="32"/>
          <w:szCs w:val="32"/>
        </w:rPr>
        <w:t>滨海新区</w:t>
      </w:r>
      <w:r>
        <w:rPr>
          <w:rFonts w:hint="eastAsia" w:eastAsia="仿宋_GB2312"/>
          <w:bCs/>
          <w:sz w:val="32"/>
          <w:szCs w:val="32"/>
          <w:lang w:val="en-US" w:eastAsia="zh-CN"/>
        </w:rPr>
        <w:t>茶淀街茶西村以西</w:t>
      </w:r>
      <w:r>
        <w:rPr>
          <w:rFonts w:hint="eastAsia" w:eastAsia="仿宋_GB2312"/>
          <w:bCs/>
          <w:sz w:val="32"/>
          <w:szCs w:val="32"/>
          <w:lang w:eastAsia="zh-CN"/>
        </w:rPr>
        <w:t>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的现有厂房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</w:rPr>
        <w:t>新建</w:t>
      </w:r>
      <w:r>
        <w:rPr>
          <w:rFonts w:hint="eastAsia" w:eastAsia="仿宋_GB2312"/>
          <w:bCs/>
          <w:sz w:val="32"/>
          <w:szCs w:val="32"/>
          <w:lang w:val="en-US" w:eastAsia="zh-CN"/>
        </w:rPr>
        <w:t>煤质活性炭加工</w:t>
      </w:r>
      <w:r>
        <w:rPr>
          <w:rFonts w:hint="eastAsia" w:eastAsia="仿宋_GB2312"/>
          <w:bCs/>
          <w:sz w:val="32"/>
          <w:szCs w:val="32"/>
        </w:rPr>
        <w:t>生产线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项目设置有直线筛、方筛、圆筛各一台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破碎机两台，混料仓一个及其它配套设施，同时设有一个产品测试实验室，生产规模为</w:t>
      </w:r>
      <w:r>
        <w:rPr>
          <w:rFonts w:hint="eastAsia" w:eastAsia="仿宋_GB2312"/>
          <w:bCs/>
          <w:sz w:val="32"/>
          <w:szCs w:val="32"/>
        </w:rPr>
        <w:t>年产</w:t>
      </w:r>
      <w:r>
        <w:rPr>
          <w:rFonts w:hint="eastAsia" w:eastAsia="仿宋_GB2312"/>
          <w:bCs/>
          <w:sz w:val="32"/>
          <w:szCs w:val="32"/>
          <w:lang w:val="en-US" w:eastAsia="zh-CN"/>
        </w:rPr>
        <w:t>活性炭0.9</w:t>
      </w:r>
      <w:r>
        <w:rPr>
          <w:rFonts w:hint="eastAsia" w:eastAsia="仿宋_GB2312"/>
          <w:bCs/>
          <w:sz w:val="32"/>
          <w:szCs w:val="32"/>
        </w:rPr>
        <w:t>万吨。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总投资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eastAsia="仿宋_GB2312"/>
          <w:sz w:val="32"/>
          <w:szCs w:val="32"/>
        </w:rPr>
        <w:t>万元，环保投资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万元，约占总投资的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日，我局将该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val="en-US" w:eastAsia="zh-CN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hint="eastAsia" w:eastAsia="仿宋_GB2312"/>
          <w:sz w:val="32"/>
          <w:szCs w:val="32"/>
          <w:lang w:val="en-US" w:eastAsia="zh-CN"/>
        </w:rPr>
        <w:t>；3月22日至3月26日，</w:t>
      </w:r>
      <w:r>
        <w:rPr>
          <w:rFonts w:eastAsia="仿宋_GB2312"/>
          <w:sz w:val="32"/>
          <w:szCs w:val="32"/>
        </w:rPr>
        <w:t>将该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val="en-US"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公示；根据公众反馈意见情况及环评报告结论，在严格落实环评报告所提出的各项污染防治措施、确保各类污染物稳定达标的前提下，该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>
      <w:pPr>
        <w:numPr>
          <w:ilvl w:val="0"/>
          <w:numId w:val="0"/>
        </w:numPr>
        <w:spacing w:line="360" w:lineRule="auto"/>
        <w:ind w:firstLine="640" w:firstLineChars="200"/>
        <w:contextualSpacing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1.各筛分机、破碎机、混料仓、提升机、缓冲储料仓、去石机、除铁机、包装机等产尘环节设置集气系统，含尘</w:t>
      </w:r>
      <w:r>
        <w:rPr>
          <w:rFonts w:hint="eastAsia" w:eastAsia="仿宋_GB2312"/>
          <w:bCs/>
          <w:sz w:val="32"/>
          <w:szCs w:val="32"/>
        </w:rPr>
        <w:t>废气经收集进入一套</w:t>
      </w:r>
      <w:r>
        <w:rPr>
          <w:rFonts w:hint="eastAsia" w:eastAsia="仿宋_GB2312"/>
          <w:bCs/>
          <w:sz w:val="32"/>
          <w:szCs w:val="32"/>
          <w:lang w:eastAsia="zh-CN"/>
        </w:rPr>
        <w:t>“</w:t>
      </w:r>
      <w:r>
        <w:rPr>
          <w:rFonts w:hint="eastAsia" w:eastAsia="仿宋_GB2312"/>
          <w:bCs/>
          <w:sz w:val="32"/>
          <w:szCs w:val="32"/>
          <w:lang w:val="en-US" w:eastAsia="zh-CN"/>
        </w:rPr>
        <w:t>旋风除尘+</w:t>
      </w:r>
      <w:r>
        <w:rPr>
          <w:rFonts w:hint="eastAsia" w:eastAsia="仿宋_GB2312"/>
          <w:bCs/>
          <w:sz w:val="32"/>
          <w:szCs w:val="32"/>
        </w:rPr>
        <w:t>布袋除尘</w:t>
      </w:r>
      <w:r>
        <w:rPr>
          <w:rFonts w:hint="eastAsia" w:eastAsia="仿宋_GB2312"/>
          <w:bCs/>
          <w:sz w:val="32"/>
          <w:szCs w:val="32"/>
          <w:lang w:eastAsia="zh-CN"/>
        </w:rPr>
        <w:t>”</w:t>
      </w:r>
      <w:r>
        <w:rPr>
          <w:rFonts w:hint="eastAsia" w:eastAsia="仿宋_GB2312"/>
          <w:bCs/>
          <w:sz w:val="32"/>
          <w:szCs w:val="32"/>
          <w:lang w:val="en-US" w:eastAsia="zh-CN"/>
        </w:rPr>
        <w:t>装置</w:t>
      </w:r>
      <w:r>
        <w:rPr>
          <w:rFonts w:eastAsia="仿宋_GB2312"/>
          <w:bCs/>
          <w:sz w:val="32"/>
          <w:szCs w:val="32"/>
        </w:rPr>
        <w:t>处理</w:t>
      </w:r>
      <w:r>
        <w:rPr>
          <w:rFonts w:hint="eastAsia" w:eastAsia="仿宋_GB2312"/>
          <w:bCs/>
          <w:sz w:val="32"/>
          <w:szCs w:val="32"/>
          <w:lang w:val="en-US" w:eastAsia="zh-CN"/>
        </w:rPr>
        <w:t>后，</w:t>
      </w:r>
      <w:r>
        <w:rPr>
          <w:rFonts w:eastAsia="仿宋_GB2312"/>
          <w:bCs/>
          <w:sz w:val="32"/>
          <w:szCs w:val="32"/>
        </w:rPr>
        <w:t>由</w:t>
      </w:r>
      <w:r>
        <w:rPr>
          <w:rFonts w:hint="eastAsia" w:eastAsia="仿宋_GB2312"/>
          <w:bCs/>
          <w:sz w:val="32"/>
          <w:szCs w:val="32"/>
          <w:lang w:eastAsia="zh-CN"/>
        </w:rPr>
        <w:t>一</w:t>
      </w:r>
      <w:r>
        <w:rPr>
          <w:rFonts w:eastAsia="仿宋_GB2312"/>
          <w:bCs/>
          <w:sz w:val="32"/>
          <w:szCs w:val="32"/>
        </w:rPr>
        <w:t>根1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米</w:t>
      </w:r>
      <w:r>
        <w:rPr>
          <w:rFonts w:eastAsia="仿宋_GB2312"/>
          <w:bCs/>
          <w:sz w:val="32"/>
          <w:szCs w:val="32"/>
        </w:rPr>
        <w:t>高的排气筒</w:t>
      </w:r>
      <w:r>
        <w:rPr>
          <w:rFonts w:hint="eastAsia" w:eastAsia="仿宋_GB2312"/>
          <w:bCs/>
          <w:sz w:val="32"/>
          <w:szCs w:val="32"/>
          <w:lang w:eastAsia="zh-CN"/>
        </w:rPr>
        <w:t>达标</w:t>
      </w:r>
      <w:r>
        <w:rPr>
          <w:rFonts w:eastAsia="仿宋_GB2312"/>
          <w:bCs/>
          <w:sz w:val="32"/>
          <w:szCs w:val="32"/>
        </w:rPr>
        <w:t>排放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eastAsia="仿宋_GB2312"/>
          <w:bCs/>
          <w:kern w:val="2"/>
          <w:sz w:val="32"/>
          <w:szCs w:val="32"/>
        </w:rPr>
        <w:t>采取</w:t>
      </w:r>
      <w:r>
        <w:rPr>
          <w:rFonts w:hint="eastAsia" w:eastAsia="仿宋_GB2312"/>
          <w:bCs/>
          <w:kern w:val="2"/>
          <w:sz w:val="32"/>
          <w:szCs w:val="32"/>
          <w:lang w:val="en-US" w:eastAsia="zh-CN"/>
        </w:rPr>
        <w:t>厂房封</w:t>
      </w:r>
      <w:r>
        <w:rPr>
          <w:rFonts w:hint="eastAsia" w:eastAsia="仿宋_GB2312"/>
          <w:bCs/>
          <w:kern w:val="2"/>
          <w:sz w:val="32"/>
          <w:szCs w:val="32"/>
        </w:rPr>
        <w:t>闭等措施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颗粒物</w:t>
      </w:r>
      <w:r>
        <w:rPr>
          <w:rFonts w:hint="eastAsia" w:eastAsia="仿宋_GB2312"/>
          <w:sz w:val="32"/>
          <w:szCs w:val="32"/>
        </w:rPr>
        <w:t>无组织排放浓度满足厂界限值要求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default" w:eastAsia="仿宋_GB2312"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2.蒸馏水制备设备产生的冷却水和排浓水与生活污水</w:t>
      </w:r>
      <w:r>
        <w:rPr>
          <w:rFonts w:hint="eastAsia" w:eastAsia="仿宋_GB2312"/>
          <w:bCs/>
          <w:sz w:val="32"/>
          <w:szCs w:val="32"/>
        </w:rPr>
        <w:t>经化粪池沉淀后定期清掏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应选用低噪声</w:t>
      </w:r>
      <w:r>
        <w:rPr>
          <w:rFonts w:hint="eastAsia" w:eastAsia="仿宋_GB2312"/>
          <w:sz w:val="32"/>
          <w:szCs w:val="32"/>
          <w:lang w:val="en-US" w:eastAsia="zh-CN"/>
        </w:rPr>
        <w:t>设备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baseline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default" w:eastAsia="仿宋_GB2312" w:cs="Times New Roman"/>
          <w:sz w:val="32"/>
          <w:szCs w:val="32"/>
          <w:lang w:eastAsia="zh-CN"/>
        </w:rPr>
        <w:t>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润滑</w:t>
      </w:r>
      <w:r>
        <w:rPr>
          <w:rFonts w:hint="default" w:eastAsia="仿宋_GB2312" w:cs="Times New Roman"/>
          <w:sz w:val="32"/>
          <w:szCs w:val="32"/>
          <w:lang w:eastAsia="zh-CN"/>
        </w:rPr>
        <w:t>油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实验室废液、实验清洗废水、废试剂瓶、废油桶、含油沾染物</w:t>
      </w:r>
      <w:r>
        <w:rPr>
          <w:rFonts w:hint="default" w:eastAsia="仿宋_GB2312" w:cs="Times New Roman"/>
          <w:sz w:val="32"/>
          <w:szCs w:val="32"/>
          <w:lang w:eastAsia="zh-CN"/>
        </w:rPr>
        <w:t>等危险废物须按照《危险废物收集贮存运输技术规范》（HJ2025-2012）进行收集、贮存及运输，并交由有相应资质的单位进行处理、处置</w:t>
      </w:r>
      <w:r>
        <w:rPr>
          <w:rFonts w:hint="eastAsia" w:eastAsia="仿宋_GB2312" w:cs="Times New Roman"/>
          <w:sz w:val="32"/>
          <w:szCs w:val="32"/>
          <w:lang w:eastAsia="zh-CN"/>
        </w:rPr>
        <w:t>；严格按照《工业危险废物产生单位规范化管理指标及抽查表》做好危险废物规范化管理工作。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baseline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废包装袋、砂石、铁屑外售给物资回收部门；收集的粉尘外售给下游加工厂家做原料。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认真落实《天津市涉气工业污染源自动监控系统建设工作方案》的要求，并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做好排污口规范化工作：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设置规范的废气采样点，悬挂符合要求的标识牌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color w:val="0000FF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强化各项环境风险防范措施，确保火灾爆炸时产生的消防废水能够做到有效收集，不进入外环境；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突发环境事件应急预案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报区生态环境局备案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污染物排放总量。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建设应严格执行环境保护设施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eastAsia="仿宋_GB2312" w:cs="Times New Roman"/>
          <w:sz w:val="32"/>
          <w:szCs w:val="32"/>
          <w:lang w:eastAsia="zh-CN"/>
        </w:rPr>
        <w:t>；项目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竣工后，按规定的标准和程序开展环境保护验收，经验收合格后方可正式投入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启动生产设施或者发生实际排污之前，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62" w:firstLineChars="207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1.《环境空气质量标准》（GB3095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2012）二级；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《声环境质量标准》（GB3096-2008）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类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《大气污染物综合排放标准》（</w:t>
      </w:r>
      <w:r>
        <w:rPr>
          <w:rFonts w:hint="eastAsia" w:eastAsia="仿宋_GB2312"/>
          <w:sz w:val="32"/>
          <w:szCs w:val="32"/>
        </w:rPr>
        <w:t>GB</w:t>
      </w:r>
      <w:r>
        <w:rPr>
          <w:rFonts w:hint="eastAsia" w:eastAsia="仿宋_GB2312"/>
          <w:sz w:val="32"/>
          <w:szCs w:val="32"/>
          <w:lang w:val="en-US" w:eastAsia="zh-CN"/>
        </w:rPr>
        <w:t>16297</w:t>
      </w:r>
      <w:r>
        <w:rPr>
          <w:rFonts w:hint="eastAsia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  <w:lang w:val="en-US" w:eastAsia="zh-CN"/>
        </w:rPr>
        <w:t>1996）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4.《工业企业厂界环境噪声排放标准》（GB12348-2008）2类；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5.《危险废物贮存污染控制标准》（GB18597-2001）；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6.《危险废物收集贮存运输技术规范》（HJ2025-2012）；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7.《一般工</w:t>
      </w:r>
      <w:r>
        <w:rPr>
          <w:rFonts w:eastAsia="仿宋_GB2312"/>
          <w:sz w:val="32"/>
          <w:szCs w:val="32"/>
        </w:rPr>
        <w:t>业固体废物贮存、</w:t>
      </w:r>
      <w:r>
        <w:rPr>
          <w:rFonts w:hint="eastAsia" w:eastAsia="仿宋_GB2312"/>
          <w:sz w:val="32"/>
          <w:szCs w:val="32"/>
        </w:rPr>
        <w:t>处置</w:t>
      </w:r>
      <w:r>
        <w:rPr>
          <w:rFonts w:eastAsia="仿宋_GB2312"/>
          <w:sz w:val="32"/>
          <w:szCs w:val="32"/>
        </w:rPr>
        <w:t>场污染控制标准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GB18599-2001</w:t>
      </w:r>
      <w:r>
        <w:rPr>
          <w:rFonts w:hint="eastAsia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此复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firstLine="2800" w:firstLineChars="1000"/>
        <w:jc w:val="right"/>
        <w:rPr>
          <w:rFonts w:hint="eastAsia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3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主题词：环境影响 报告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（共印4份）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>
      <w:pPr>
        <w:ind w:firstLine="28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6F182"/>
    <w:multiLevelType w:val="singleLevel"/>
    <w:tmpl w:val="D0F6F1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078EA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22C4AC3"/>
    <w:rsid w:val="03EA0063"/>
    <w:rsid w:val="049A1B69"/>
    <w:rsid w:val="051B2100"/>
    <w:rsid w:val="05F22F26"/>
    <w:rsid w:val="071B3AF0"/>
    <w:rsid w:val="07CF6683"/>
    <w:rsid w:val="08CC7EF8"/>
    <w:rsid w:val="0A616717"/>
    <w:rsid w:val="0A6D6985"/>
    <w:rsid w:val="0A993ECD"/>
    <w:rsid w:val="0B0D5A13"/>
    <w:rsid w:val="0B6D14B7"/>
    <w:rsid w:val="0C676E59"/>
    <w:rsid w:val="0C762F1E"/>
    <w:rsid w:val="0C9A2C40"/>
    <w:rsid w:val="0DA17C0A"/>
    <w:rsid w:val="0E65118A"/>
    <w:rsid w:val="0EDF62FA"/>
    <w:rsid w:val="0FA859B9"/>
    <w:rsid w:val="0FBF42EC"/>
    <w:rsid w:val="11C21C03"/>
    <w:rsid w:val="11D91F41"/>
    <w:rsid w:val="126758C9"/>
    <w:rsid w:val="13025D05"/>
    <w:rsid w:val="138327ED"/>
    <w:rsid w:val="14367871"/>
    <w:rsid w:val="145D6C8E"/>
    <w:rsid w:val="156E623C"/>
    <w:rsid w:val="16420B4B"/>
    <w:rsid w:val="16445189"/>
    <w:rsid w:val="16823748"/>
    <w:rsid w:val="17B46048"/>
    <w:rsid w:val="184D3DB0"/>
    <w:rsid w:val="19670D81"/>
    <w:rsid w:val="19827E91"/>
    <w:rsid w:val="19B95B36"/>
    <w:rsid w:val="1A405BB6"/>
    <w:rsid w:val="1B79085C"/>
    <w:rsid w:val="1D992813"/>
    <w:rsid w:val="1E742A13"/>
    <w:rsid w:val="1E860E96"/>
    <w:rsid w:val="1F3259C6"/>
    <w:rsid w:val="1FE25F99"/>
    <w:rsid w:val="215A2789"/>
    <w:rsid w:val="217E0DA2"/>
    <w:rsid w:val="21F746F6"/>
    <w:rsid w:val="220D79D5"/>
    <w:rsid w:val="22FF2A80"/>
    <w:rsid w:val="235F1C43"/>
    <w:rsid w:val="25930AA1"/>
    <w:rsid w:val="261C2711"/>
    <w:rsid w:val="27D7053C"/>
    <w:rsid w:val="27DF6D5B"/>
    <w:rsid w:val="290416FB"/>
    <w:rsid w:val="2A8E570B"/>
    <w:rsid w:val="2B5A4C61"/>
    <w:rsid w:val="2BDA088D"/>
    <w:rsid w:val="2C7C5C90"/>
    <w:rsid w:val="2DA85F50"/>
    <w:rsid w:val="2DE85F13"/>
    <w:rsid w:val="2F924F4E"/>
    <w:rsid w:val="301F5C9F"/>
    <w:rsid w:val="31D3618D"/>
    <w:rsid w:val="31E47D3B"/>
    <w:rsid w:val="330A7AD7"/>
    <w:rsid w:val="33937C59"/>
    <w:rsid w:val="33CC3E98"/>
    <w:rsid w:val="3678062E"/>
    <w:rsid w:val="3982447C"/>
    <w:rsid w:val="3A3A1698"/>
    <w:rsid w:val="3A7C0B5B"/>
    <w:rsid w:val="3B4A6214"/>
    <w:rsid w:val="3C707A21"/>
    <w:rsid w:val="3E053D44"/>
    <w:rsid w:val="3E4852B7"/>
    <w:rsid w:val="3E6B05F3"/>
    <w:rsid w:val="3F6B7FC3"/>
    <w:rsid w:val="41BA15F9"/>
    <w:rsid w:val="420A2FF8"/>
    <w:rsid w:val="42195A6A"/>
    <w:rsid w:val="42D17C40"/>
    <w:rsid w:val="43AE49AE"/>
    <w:rsid w:val="44F21C4B"/>
    <w:rsid w:val="45AD6951"/>
    <w:rsid w:val="48B431C7"/>
    <w:rsid w:val="48D025CE"/>
    <w:rsid w:val="495C1E89"/>
    <w:rsid w:val="4AE83298"/>
    <w:rsid w:val="4B106CD2"/>
    <w:rsid w:val="4C0E08E5"/>
    <w:rsid w:val="4C895B69"/>
    <w:rsid w:val="4D391886"/>
    <w:rsid w:val="4D7A256B"/>
    <w:rsid w:val="4E9117B5"/>
    <w:rsid w:val="4F016F2E"/>
    <w:rsid w:val="502925FF"/>
    <w:rsid w:val="50D413E4"/>
    <w:rsid w:val="517F3AB5"/>
    <w:rsid w:val="51872AF4"/>
    <w:rsid w:val="51A96376"/>
    <w:rsid w:val="524C788D"/>
    <w:rsid w:val="5261193E"/>
    <w:rsid w:val="53333171"/>
    <w:rsid w:val="537F0991"/>
    <w:rsid w:val="53DD4949"/>
    <w:rsid w:val="562D4626"/>
    <w:rsid w:val="56884D52"/>
    <w:rsid w:val="56F00E14"/>
    <w:rsid w:val="56FD0BF1"/>
    <w:rsid w:val="5750757E"/>
    <w:rsid w:val="581A10A7"/>
    <w:rsid w:val="59465D4C"/>
    <w:rsid w:val="5BD03280"/>
    <w:rsid w:val="5CE11D93"/>
    <w:rsid w:val="5D1A2FE5"/>
    <w:rsid w:val="5D6642F5"/>
    <w:rsid w:val="5DB84FA9"/>
    <w:rsid w:val="5F9A6485"/>
    <w:rsid w:val="61F11BB7"/>
    <w:rsid w:val="628A6975"/>
    <w:rsid w:val="631344F8"/>
    <w:rsid w:val="63C42AC6"/>
    <w:rsid w:val="64C45BAF"/>
    <w:rsid w:val="686A0B4A"/>
    <w:rsid w:val="68CD0632"/>
    <w:rsid w:val="6CBE07C5"/>
    <w:rsid w:val="6D0C7C5A"/>
    <w:rsid w:val="6EB8085B"/>
    <w:rsid w:val="6F2605FE"/>
    <w:rsid w:val="6FF3011B"/>
    <w:rsid w:val="706E47D2"/>
    <w:rsid w:val="71B60E95"/>
    <w:rsid w:val="71F065BA"/>
    <w:rsid w:val="721718E5"/>
    <w:rsid w:val="729829D6"/>
    <w:rsid w:val="73067FA2"/>
    <w:rsid w:val="73935D89"/>
    <w:rsid w:val="7458541A"/>
    <w:rsid w:val="7479752E"/>
    <w:rsid w:val="75600327"/>
    <w:rsid w:val="76A77C9C"/>
    <w:rsid w:val="76EE77E0"/>
    <w:rsid w:val="78241FCC"/>
    <w:rsid w:val="787E122A"/>
    <w:rsid w:val="78B56081"/>
    <w:rsid w:val="7B57295F"/>
    <w:rsid w:val="7B9D632B"/>
    <w:rsid w:val="7D123060"/>
    <w:rsid w:val="7E6C59D9"/>
    <w:rsid w:val="7FD231E4"/>
    <w:rsid w:val="EEF1EDAE"/>
    <w:rsid w:val="FFFF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1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39</Characters>
  <Lines>1</Lines>
  <Paragraphs>1</Paragraphs>
  <TotalTime>9</TotalTime>
  <ScaleCrop>false</ScaleCrop>
  <LinksUpToDate>false</LinksUpToDate>
  <CharactersWithSpaces>44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2014-05-22T17:22:00Z</dcterms:created>
  <dc:creator>张明蕾</dc:creator>
  <cp:lastModifiedBy>审批二室</cp:lastModifiedBy>
  <cp:lastPrinted>2020-02-07T17:03:00Z</cp:lastPrinted>
  <dcterms:modified xsi:type="dcterms:W3CDTF">2021-08-18T10:27:30Z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