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 </w:t>
      </w:r>
    </w:p>
    <w:p>
      <w:pPr>
        <w:rPr>
          <w:rFonts w:ascii="仿宋_GB2312" w:eastAsia="仿宋_GB2312"/>
          <w:color w:val="auto"/>
          <w:sz w:val="32"/>
          <w:szCs w:val="32"/>
        </w:rPr>
      </w:pPr>
    </w:p>
    <w:p>
      <w:pPr>
        <w:pStyle w:val="2"/>
        <w:rPr>
          <w:color w:val="auto"/>
        </w:rPr>
      </w:pPr>
    </w:p>
    <w:p>
      <w:pPr>
        <w:spacing w:line="360" w:lineRule="auto"/>
        <w:jc w:val="center"/>
        <w:rPr>
          <w:rFonts w:ascii="仿宋_GB2312" w:eastAsia="仿宋_GB2312"/>
          <w:color w:val="auto"/>
          <w:sz w:val="32"/>
          <w:szCs w:val="32"/>
        </w:rPr>
      </w:pPr>
    </w:p>
    <w:p>
      <w:pPr>
        <w:jc w:val="center"/>
        <w:rPr>
          <w:rFonts w:hint="default" w:ascii="Times New Roman" w:hAnsi="Times New Roman" w:eastAsia="仿宋_GB2312" w:cs="Times New Roman"/>
          <w:color w:val="auto"/>
          <w:sz w:val="32"/>
          <w:szCs w:val="32"/>
        </w:rPr>
      </w:pPr>
    </w:p>
    <w:p>
      <w:pPr>
        <w:jc w:val="center"/>
        <w:rPr>
          <w:rFonts w:ascii="仿宋_GB2312" w:eastAsia="仿宋_GB2312"/>
          <w:color w:val="auto"/>
          <w:sz w:val="32"/>
          <w:szCs w:val="32"/>
        </w:rPr>
      </w:pPr>
      <w:r>
        <w:rPr>
          <w:rFonts w:hint="default" w:ascii="Times New Roman" w:hAnsi="Times New Roman" w:eastAsia="仿宋_GB2312" w:cs="Times New Roman"/>
          <w:color w:val="auto"/>
          <w:sz w:val="32"/>
          <w:szCs w:val="32"/>
        </w:rPr>
        <w:t>津滨审批二室准〔20</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w:t>
      </w:r>
      <w:r>
        <w:rPr>
          <w:rFonts w:hint="eastAsia" w:eastAsia="仿宋_GB2312" w:cs="Times New Roman"/>
          <w:color w:val="auto"/>
          <w:sz w:val="32"/>
          <w:szCs w:val="32"/>
          <w:lang w:val="en-US" w:eastAsia="zh-CN"/>
        </w:rPr>
        <w:t>109</w:t>
      </w:r>
      <w:r>
        <w:rPr>
          <w:rFonts w:hint="default" w:ascii="Times New Roman" w:hAnsi="Times New Roman" w:eastAsia="仿宋_GB2312" w:cs="Times New Roman"/>
          <w:color w:val="auto"/>
          <w:sz w:val="32"/>
          <w:szCs w:val="32"/>
        </w:rPr>
        <w:t>号</w:t>
      </w:r>
    </w:p>
    <w:p>
      <w:pPr>
        <w:rPr>
          <w:rFonts w:ascii="仿宋_GB2312" w:eastAsia="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eastAsia" w:eastAsia="方正小标宋简体" w:cs="Times New Roman"/>
          <w:color w:val="auto"/>
          <w:sz w:val="44"/>
          <w:lang w:eastAsia="zh-CN"/>
        </w:rPr>
      </w:pPr>
      <w:bookmarkStart w:id="0" w:name="_GoBack"/>
      <w:bookmarkEnd w:id="0"/>
      <w:r>
        <w:rPr>
          <w:rFonts w:hint="default" w:ascii="Times New Roman" w:hAnsi="Times New Roman" w:eastAsia="方正小标宋简体" w:cs="Times New Roman"/>
          <w:color w:val="auto"/>
          <w:sz w:val="44"/>
        </w:rPr>
        <w:t>关于</w:t>
      </w:r>
      <w:r>
        <w:rPr>
          <w:rFonts w:hint="eastAsia" w:eastAsia="方正小标宋简体" w:cs="Times New Roman"/>
          <w:color w:val="auto"/>
          <w:sz w:val="44"/>
          <w:lang w:eastAsia="zh-CN"/>
        </w:rPr>
        <w:t>新增水泥垫块、水泥支撑生产线项目</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outlineLvl w:val="9"/>
        <w:rPr>
          <w:rFonts w:hint="default" w:ascii="Times New Roman" w:hAnsi="Times New Roman" w:eastAsia="方正小标宋简体" w:cs="Times New Roman"/>
          <w:color w:val="auto"/>
          <w:sz w:val="44"/>
        </w:rPr>
      </w:pPr>
      <w:r>
        <w:rPr>
          <w:rFonts w:hint="default" w:ascii="Times New Roman" w:hAnsi="Times New Roman" w:eastAsia="方正小标宋简体" w:cs="Times New Roman"/>
          <w:color w:val="auto"/>
          <w:sz w:val="44"/>
        </w:rPr>
        <w:t>环境影响报告表的批复</w:t>
      </w: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default" w:ascii="Times New Roman" w:hAnsi="Times New Roman" w:eastAsia="仿宋_GB2312" w:cs="Times New Roman"/>
          <w:color w:val="auto"/>
          <w:sz w:val="32"/>
          <w:szCs w:val="32"/>
          <w:lang w:eastAsia="zh-CN"/>
        </w:rPr>
      </w:pPr>
    </w:p>
    <w:p>
      <w:pPr>
        <w:keepNext w:val="0"/>
        <w:keepLines w:val="0"/>
        <w:pageBreakBefore w:val="0"/>
        <w:widowControl w:val="0"/>
        <w:kinsoku/>
        <w:wordWrap/>
        <w:overflowPunct/>
        <w:topLinePunct w:val="0"/>
        <w:autoSpaceDE/>
        <w:autoSpaceDN/>
        <w:bidi w:val="0"/>
        <w:snapToGrid/>
        <w:spacing w:line="360" w:lineRule="auto"/>
        <w:textAlignment w:val="baseline"/>
        <w:outlineLvl w:val="9"/>
        <w:rPr>
          <w:rFonts w:hint="eastAsia" w:eastAsia="仿宋_GB2312" w:cs="Times New Roman"/>
          <w:color w:val="auto"/>
          <w:sz w:val="32"/>
          <w:szCs w:val="32"/>
          <w:lang w:eastAsia="zh-CN"/>
        </w:rPr>
      </w:pPr>
      <w:r>
        <w:rPr>
          <w:rFonts w:hint="eastAsia" w:eastAsia="仿宋_GB2312" w:cs="Times New Roman"/>
          <w:color w:val="auto"/>
          <w:sz w:val="32"/>
          <w:szCs w:val="32"/>
          <w:lang w:eastAsia="zh-CN"/>
        </w:rPr>
        <w:t>天津市汉沽福田铸造厂：</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eastAsia="仿宋_GB2312"/>
          <w:color w:val="auto"/>
          <w:sz w:val="32"/>
          <w:szCs w:val="32"/>
          <w:lang w:val="en"/>
        </w:rPr>
        <w:t>你厂</w:t>
      </w:r>
      <w:r>
        <w:rPr>
          <w:rFonts w:eastAsia="仿宋_GB2312"/>
          <w:color w:val="auto"/>
          <w:sz w:val="32"/>
          <w:szCs w:val="32"/>
        </w:rPr>
        <w:t>呈报的《</w:t>
      </w:r>
      <w:r>
        <w:rPr>
          <w:rFonts w:hint="eastAsia" w:eastAsia="仿宋_GB2312"/>
          <w:color w:val="auto"/>
          <w:sz w:val="32"/>
          <w:szCs w:val="32"/>
          <w:lang w:val="en-US" w:eastAsia="zh-CN"/>
        </w:rPr>
        <w:t>关于报批</w:t>
      </w:r>
      <w:r>
        <w:rPr>
          <w:rFonts w:hint="eastAsia" w:eastAsia="仿宋_GB2312" w:cs="Times New Roman"/>
          <w:color w:val="auto"/>
          <w:sz w:val="32"/>
          <w:szCs w:val="32"/>
          <w:lang w:eastAsia="zh-CN"/>
        </w:rPr>
        <w:t>天津市汉沽福田铸造厂</w:t>
      </w:r>
      <w:r>
        <w:rPr>
          <w:rFonts w:hint="default" w:eastAsia="仿宋_GB2312" w:cs="Times New Roman"/>
          <w:color w:val="auto"/>
          <w:sz w:val="32"/>
          <w:szCs w:val="32"/>
          <w:lang w:val="en" w:eastAsia="zh-CN"/>
        </w:rPr>
        <w:t>新增水泥垫块、水泥支撑生产线项目</w:t>
      </w:r>
      <w:r>
        <w:rPr>
          <w:rFonts w:hint="eastAsia" w:eastAsia="仿宋_GB2312"/>
          <w:color w:val="auto"/>
          <w:sz w:val="32"/>
          <w:szCs w:val="32"/>
          <w:lang w:eastAsia="zh-CN"/>
        </w:rPr>
        <w:t>环境影响报告表的请示</w:t>
      </w:r>
      <w:r>
        <w:rPr>
          <w:rFonts w:eastAsia="仿宋_GB2312"/>
          <w:color w:val="auto"/>
          <w:sz w:val="32"/>
          <w:szCs w:val="32"/>
        </w:rPr>
        <w:t>》</w:t>
      </w:r>
      <w:r>
        <w:rPr>
          <w:rFonts w:hint="default" w:eastAsia="仿宋_GB2312" w:cs="Times New Roman"/>
          <w:color w:val="auto"/>
          <w:sz w:val="32"/>
          <w:szCs w:val="32"/>
          <w:lang w:val="en-US" w:eastAsia="zh-CN"/>
        </w:rPr>
        <w:t>和</w:t>
      </w:r>
      <w:r>
        <w:rPr>
          <w:rFonts w:hint="eastAsia" w:eastAsia="仿宋_GB2312"/>
          <w:color w:val="auto"/>
          <w:sz w:val="32"/>
          <w:szCs w:val="32"/>
          <w:lang w:val="en-US" w:eastAsia="zh-CN"/>
        </w:rPr>
        <w:t>天津众峰环保科技有限公司</w:t>
      </w:r>
      <w:r>
        <w:rPr>
          <w:rFonts w:hint="eastAsia" w:eastAsia="仿宋_GB2312"/>
          <w:color w:val="auto"/>
          <w:sz w:val="32"/>
          <w:szCs w:val="32"/>
          <w:lang w:eastAsia="zh-CN"/>
        </w:rPr>
        <w:t>《</w:t>
      </w:r>
      <w:r>
        <w:rPr>
          <w:rFonts w:hint="default" w:eastAsia="仿宋_GB2312"/>
          <w:color w:val="auto"/>
          <w:sz w:val="32"/>
          <w:szCs w:val="32"/>
          <w:lang w:val="en" w:eastAsia="zh-CN"/>
        </w:rPr>
        <w:t>新增水泥垫块、水泥支撑生产线项目</w:t>
      </w:r>
      <w:r>
        <w:rPr>
          <w:rFonts w:hint="eastAsia" w:eastAsia="仿宋_GB2312"/>
          <w:color w:val="auto"/>
          <w:sz w:val="32"/>
          <w:szCs w:val="32"/>
          <w:lang w:val="en-US" w:eastAsia="zh-CN"/>
        </w:rPr>
        <w:t>环境影响报告表</w:t>
      </w:r>
      <w:r>
        <w:rPr>
          <w:rFonts w:hint="eastAsia" w:eastAsia="仿宋_GB2312"/>
          <w:color w:val="auto"/>
          <w:sz w:val="32"/>
          <w:szCs w:val="32"/>
          <w:lang w:eastAsia="zh-CN"/>
        </w:rPr>
        <w:t>》</w:t>
      </w:r>
      <w:r>
        <w:rPr>
          <w:rFonts w:hint="eastAsia" w:eastAsia="仿宋_GB2312"/>
          <w:color w:val="auto"/>
          <w:sz w:val="32"/>
          <w:szCs w:val="32"/>
          <w:lang w:val="en-US" w:eastAsia="zh-CN"/>
        </w:rPr>
        <w:t>等材料</w:t>
      </w:r>
      <w:r>
        <w:rPr>
          <w:rFonts w:hint="eastAsia" w:eastAsia="仿宋_GB2312"/>
          <w:color w:val="auto"/>
          <w:sz w:val="32"/>
          <w:szCs w:val="32"/>
          <w:lang w:eastAsia="zh-CN"/>
        </w:rPr>
        <w:t>收悉。</w:t>
      </w:r>
      <w:r>
        <w:rPr>
          <w:rFonts w:eastAsia="仿宋_GB2312"/>
          <w:color w:val="auto"/>
          <w:sz w:val="32"/>
          <w:szCs w:val="32"/>
        </w:rPr>
        <w:t>经研究，现批复如下：</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hint="eastAsia" w:eastAsia="仿宋_GB2312"/>
          <w:color w:val="auto"/>
          <w:sz w:val="32"/>
          <w:szCs w:val="32"/>
          <w:lang w:val="en-US" w:eastAsia="zh-CN"/>
        </w:rPr>
        <w:t>一、</w:t>
      </w:r>
      <w:r>
        <w:rPr>
          <w:rFonts w:hint="default" w:eastAsia="仿宋_GB2312"/>
          <w:color w:val="auto"/>
          <w:sz w:val="32"/>
          <w:szCs w:val="32"/>
          <w:lang w:val="en" w:eastAsia="zh-CN"/>
        </w:rPr>
        <w:t>你厂</w:t>
      </w:r>
      <w:r>
        <w:rPr>
          <w:rFonts w:hint="eastAsia" w:eastAsia="仿宋_GB2312"/>
          <w:bCs/>
          <w:color w:val="auto"/>
          <w:sz w:val="32"/>
          <w:szCs w:val="32"/>
          <w:lang w:eastAsia="zh-CN"/>
        </w:rPr>
        <w:t>位于</w:t>
      </w:r>
      <w:r>
        <w:rPr>
          <w:rFonts w:hint="eastAsia" w:eastAsia="仿宋_GB2312"/>
          <w:bCs/>
          <w:color w:val="auto"/>
          <w:sz w:val="32"/>
          <w:szCs w:val="32"/>
        </w:rPr>
        <w:t>滨海新区</w:t>
      </w:r>
      <w:r>
        <w:rPr>
          <w:rFonts w:hint="eastAsia" w:eastAsia="仿宋_GB2312"/>
          <w:bCs/>
          <w:color w:val="auto"/>
          <w:sz w:val="32"/>
          <w:szCs w:val="32"/>
          <w:lang w:eastAsia="zh-CN"/>
        </w:rPr>
        <w:t>茶淀街福田村，拟利用现有厂房建设三条水泥支撑、水泥垫块生产线，设有三台搅拌机、三台成型机、一台锤式破碎机</w:t>
      </w:r>
      <w:r>
        <w:rPr>
          <w:rFonts w:hint="eastAsia" w:eastAsia="仿宋_GB2312"/>
          <w:color w:val="auto"/>
          <w:sz w:val="32"/>
          <w:szCs w:val="32"/>
          <w:lang w:val="en-US" w:eastAsia="zh-CN"/>
        </w:rPr>
        <w:t>（用于处理该项目产生的边角料和不合格品）</w:t>
      </w:r>
      <w:r>
        <w:rPr>
          <w:rFonts w:hint="eastAsia" w:eastAsia="仿宋_GB2312"/>
          <w:bCs/>
          <w:color w:val="auto"/>
          <w:sz w:val="32"/>
          <w:szCs w:val="32"/>
          <w:lang w:eastAsia="zh-CN"/>
        </w:rPr>
        <w:t>、两个水泥筒仓、两个水泥浆槽等设备，生产规模为年产水泥垫块</w:t>
      </w:r>
      <w:r>
        <w:rPr>
          <w:rFonts w:hint="eastAsia" w:eastAsia="仿宋_GB2312"/>
          <w:bCs/>
          <w:color w:val="auto"/>
          <w:sz w:val="32"/>
          <w:szCs w:val="32"/>
          <w:lang w:val="en-US" w:eastAsia="zh-CN"/>
        </w:rPr>
        <w:t>1500万块，水泥支撑1500万根。</w:t>
      </w:r>
      <w:r>
        <w:rPr>
          <w:rFonts w:hint="eastAsia" w:eastAsia="仿宋_GB2312"/>
          <w:color w:val="auto"/>
          <w:sz w:val="32"/>
          <w:szCs w:val="32"/>
          <w:lang w:val="en-US" w:eastAsia="zh-CN"/>
        </w:rPr>
        <w:t>项目总投资50</w:t>
      </w:r>
      <w:r>
        <w:rPr>
          <w:rFonts w:hint="eastAsia" w:eastAsia="仿宋_GB2312"/>
          <w:color w:val="auto"/>
          <w:sz w:val="32"/>
          <w:szCs w:val="32"/>
        </w:rPr>
        <w:t>万元，</w:t>
      </w:r>
      <w:r>
        <w:rPr>
          <w:rFonts w:eastAsia="仿宋_GB2312"/>
          <w:color w:val="auto"/>
          <w:sz w:val="32"/>
          <w:szCs w:val="32"/>
        </w:rPr>
        <w:t>环保投资</w:t>
      </w:r>
      <w:r>
        <w:rPr>
          <w:rFonts w:hint="eastAsia" w:eastAsia="仿宋_GB2312"/>
          <w:color w:val="auto"/>
          <w:sz w:val="32"/>
          <w:szCs w:val="32"/>
          <w:lang w:val="en-US" w:eastAsia="zh-CN"/>
        </w:rPr>
        <w:t>12</w:t>
      </w:r>
      <w:r>
        <w:rPr>
          <w:rFonts w:hint="eastAsia" w:eastAsia="仿宋_GB2312"/>
          <w:color w:val="auto"/>
          <w:sz w:val="32"/>
          <w:szCs w:val="32"/>
        </w:rPr>
        <w:t>万元</w:t>
      </w:r>
      <w:r>
        <w:rPr>
          <w:rFonts w:eastAsia="仿宋_GB2312"/>
          <w:color w:val="auto"/>
          <w:sz w:val="32"/>
          <w:szCs w:val="32"/>
        </w:rPr>
        <w:t>，</w:t>
      </w:r>
      <w:r>
        <w:rPr>
          <w:rFonts w:hint="eastAsia" w:eastAsia="仿宋_GB2312"/>
          <w:color w:val="auto"/>
          <w:sz w:val="32"/>
          <w:szCs w:val="32"/>
        </w:rPr>
        <w:t>约占总投资的</w:t>
      </w:r>
      <w:r>
        <w:rPr>
          <w:rFonts w:hint="eastAsia" w:eastAsia="仿宋_GB2312"/>
          <w:color w:val="auto"/>
          <w:sz w:val="32"/>
          <w:szCs w:val="32"/>
          <w:lang w:val="en-US" w:eastAsia="zh-CN"/>
        </w:rPr>
        <w:t>24</w:t>
      </w:r>
      <w:r>
        <w:rPr>
          <w:rFonts w:hint="eastAsia" w:eastAsia="仿宋_GB2312"/>
          <w:color w:val="auto"/>
          <w:sz w:val="32"/>
          <w:szCs w:val="32"/>
        </w:rPr>
        <w:t>%</w:t>
      </w:r>
      <w:r>
        <w:rPr>
          <w:rFonts w:eastAsia="仿宋_GB2312"/>
          <w:color w:val="auto"/>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hint="eastAsia" w:eastAsia="仿宋_GB2312"/>
          <w:color w:val="auto"/>
          <w:sz w:val="32"/>
          <w:szCs w:val="32"/>
          <w:lang w:val="en-US" w:eastAsia="zh-CN"/>
        </w:rPr>
        <w:t>2021年3月9日至3月15日，我局将该项目环评受理情况进行了公示；</w:t>
      </w:r>
      <w:r>
        <w:rPr>
          <w:rFonts w:hint="eastAsia" w:eastAsia="仿宋_GB2312"/>
          <w:sz w:val="32"/>
          <w:szCs w:val="32"/>
          <w:lang w:val="en-US" w:eastAsia="zh-CN"/>
        </w:rPr>
        <w:t>3月22日至3月26日，</w:t>
      </w:r>
      <w:r>
        <w:rPr>
          <w:rFonts w:hint="eastAsia" w:eastAsia="仿宋_GB2312"/>
          <w:color w:val="auto"/>
          <w:sz w:val="32"/>
          <w:szCs w:val="32"/>
          <w:lang w:val="en-US" w:eastAsia="zh-CN"/>
        </w:rPr>
        <w:t>将该项目环评拟批复情况进行了公示；根据公众反馈意见</w:t>
      </w:r>
      <w:r>
        <w:rPr>
          <w:rFonts w:eastAsia="仿宋_GB2312"/>
          <w:color w:val="auto"/>
          <w:sz w:val="32"/>
          <w:szCs w:val="32"/>
        </w:rPr>
        <w:t>情况及环评报告结论，在严格落实环评报告所提出的各项污染防治措施、确保各类污染物稳定达标的前提下，该</w:t>
      </w:r>
      <w:r>
        <w:rPr>
          <w:rFonts w:hint="eastAsia" w:eastAsia="仿宋_GB2312"/>
          <w:color w:val="auto"/>
          <w:sz w:val="32"/>
          <w:szCs w:val="32"/>
          <w:lang w:eastAsia="zh-CN"/>
        </w:rPr>
        <w:t>项目</w:t>
      </w:r>
      <w:r>
        <w:rPr>
          <w:rFonts w:hint="eastAsia" w:eastAsia="仿宋_GB2312"/>
          <w:color w:val="auto"/>
          <w:sz w:val="32"/>
          <w:szCs w:val="32"/>
        </w:rPr>
        <w:t>具备环境可行性</w:t>
      </w:r>
      <w:r>
        <w:rPr>
          <w:rFonts w:eastAsia="仿宋_GB2312"/>
          <w:color w:val="auto"/>
          <w:sz w:val="32"/>
          <w:szCs w:val="32"/>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eastAsia="仿宋_GB2312"/>
          <w:color w:val="auto"/>
          <w:sz w:val="32"/>
          <w:szCs w:val="32"/>
        </w:rPr>
      </w:pPr>
      <w:r>
        <w:rPr>
          <w:rFonts w:eastAsia="仿宋_GB2312"/>
          <w:color w:val="auto"/>
          <w:sz w:val="32"/>
          <w:szCs w:val="32"/>
        </w:rPr>
        <w:t>二、</w:t>
      </w:r>
      <w:r>
        <w:rPr>
          <w:rFonts w:eastAsia="仿宋_GB2312"/>
          <w:color w:val="auto"/>
          <w:sz w:val="32"/>
          <w:szCs w:val="32"/>
          <w:lang w:val="en"/>
        </w:rPr>
        <w:t>你厂</w:t>
      </w:r>
      <w:r>
        <w:rPr>
          <w:rFonts w:eastAsia="仿宋_GB2312"/>
          <w:color w:val="auto"/>
          <w:sz w:val="32"/>
          <w:szCs w:val="32"/>
        </w:rPr>
        <w:t>应重点做好以下工作：</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1.施工期间应严格执行国家相关环保法律法规和落实环评报告中提出的污染防范措施：妥善处理施工产生的施工废水和建筑垃圾；合理安排施工时间，加强对高噪声机械的管理。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2.搅拌机、破碎机设置集气罩并加装软帘，产生的含尘废气经收集后与水泥筒仓的呼吸口的废气一并引入两套布袋除尘器处理，净化后的尾气通过两根15米高排气筒排放。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bCs/>
          <w:sz w:val="32"/>
          <w:szCs w:val="32"/>
          <w:lang w:val="en-US" w:eastAsia="zh-CN"/>
        </w:rPr>
      </w:pPr>
      <w:r>
        <w:rPr>
          <w:rFonts w:hint="eastAsia" w:eastAsia="仿宋_GB2312"/>
          <w:bCs/>
          <w:sz w:val="32"/>
          <w:szCs w:val="32"/>
          <w:lang w:val="en-US" w:eastAsia="zh-CN"/>
        </w:rPr>
        <w:t>砂石料等存放在封闭的骨料库内，通过雾炮降尘等措施，确保颗粒物无组织排放厂界达标</w:t>
      </w:r>
      <w:r>
        <w:rPr>
          <w:rFonts w:hint="default" w:eastAsia="仿宋_GB2312"/>
          <w:bCs/>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bCs/>
          <w:sz w:val="32"/>
          <w:szCs w:val="32"/>
          <w:lang w:val="en-US" w:eastAsia="zh-CN"/>
        </w:rPr>
      </w:pPr>
      <w:r>
        <w:rPr>
          <w:rFonts w:hint="eastAsia" w:eastAsia="仿宋_GB2312"/>
          <w:bCs/>
          <w:sz w:val="32"/>
          <w:szCs w:val="32"/>
          <w:lang w:val="en-US" w:eastAsia="zh-CN"/>
        </w:rPr>
        <w:t>当废气治理设施发生故障时，应及时调整生产，停止产尘的生产工序，减少污染物的排放。</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bCs/>
          <w:sz w:val="32"/>
          <w:szCs w:val="32"/>
          <w:lang w:val="en-US" w:eastAsia="zh-CN"/>
        </w:rPr>
      </w:pPr>
      <w:r>
        <w:rPr>
          <w:rFonts w:hint="eastAsia" w:eastAsia="仿宋_GB2312"/>
          <w:bCs/>
          <w:sz w:val="32"/>
          <w:szCs w:val="32"/>
          <w:lang w:val="en-US" w:eastAsia="zh-CN"/>
        </w:rPr>
        <w:t>3</w:t>
      </w:r>
      <w:r>
        <w:rPr>
          <w:rFonts w:hint="default" w:eastAsia="仿宋_GB2312"/>
          <w:bCs/>
          <w:sz w:val="32"/>
          <w:szCs w:val="32"/>
          <w:lang w:val="en-US" w:eastAsia="zh-CN"/>
        </w:rPr>
        <w:t>.</w:t>
      </w:r>
      <w:r>
        <w:rPr>
          <w:rFonts w:hint="eastAsia" w:eastAsia="仿宋_GB2312"/>
          <w:bCs/>
          <w:sz w:val="32"/>
          <w:szCs w:val="32"/>
          <w:lang w:val="en-US" w:eastAsia="zh-CN"/>
        </w:rPr>
        <w:t>车轮冲洗废水经沉淀后重复利用；</w:t>
      </w:r>
      <w:r>
        <w:rPr>
          <w:rFonts w:hint="eastAsia" w:eastAsia="仿宋_GB2312"/>
          <w:bCs/>
          <w:sz w:val="32"/>
          <w:szCs w:val="32"/>
        </w:rPr>
        <w:t>生活污水经化粪池沉淀后定期清掏。</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bCs/>
          <w:sz w:val="32"/>
          <w:szCs w:val="32"/>
          <w:lang w:val="en-US" w:eastAsia="zh-CN"/>
        </w:rPr>
      </w:pPr>
      <w:r>
        <w:rPr>
          <w:rFonts w:hint="eastAsia" w:eastAsia="仿宋_GB2312"/>
          <w:bCs/>
          <w:sz w:val="32"/>
          <w:szCs w:val="32"/>
          <w:lang w:val="en-US" w:eastAsia="zh-CN"/>
        </w:rPr>
        <w:t>4.选用低噪声设备，并采取隔声降噪措施，保证厂界噪声达标。</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bCs/>
          <w:sz w:val="32"/>
          <w:szCs w:val="32"/>
          <w:lang w:val="en-US" w:eastAsia="zh-CN"/>
        </w:rPr>
      </w:pPr>
      <w:r>
        <w:rPr>
          <w:rFonts w:hint="eastAsia" w:eastAsia="仿宋_GB2312"/>
          <w:bCs/>
          <w:sz w:val="32"/>
          <w:szCs w:val="32"/>
          <w:lang w:val="en-US" w:eastAsia="zh-CN"/>
        </w:rPr>
        <w:t>5.</w:t>
      </w:r>
      <w:r>
        <w:rPr>
          <w:rFonts w:hint="default" w:eastAsia="仿宋_GB2312"/>
          <w:bCs/>
          <w:sz w:val="32"/>
          <w:szCs w:val="32"/>
          <w:lang w:val="en-US" w:eastAsia="zh-CN"/>
        </w:rPr>
        <w:t>做好各类固体废物的收集、贮存、运输和处置，做到资源化、减量化、无害化。</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eastAsia="仿宋_GB2312"/>
          <w:bCs/>
          <w:sz w:val="32"/>
          <w:szCs w:val="32"/>
          <w:lang w:val="en-US" w:eastAsia="zh-CN"/>
        </w:rPr>
      </w:pPr>
      <w:r>
        <w:rPr>
          <w:rFonts w:hint="eastAsia" w:eastAsia="仿宋_GB2312"/>
          <w:bCs/>
          <w:sz w:val="32"/>
          <w:szCs w:val="32"/>
          <w:lang w:val="en-US" w:eastAsia="zh-CN"/>
        </w:rPr>
        <w:t>含油沾染物、废液压油</w:t>
      </w:r>
      <w:r>
        <w:rPr>
          <w:rFonts w:hint="default" w:eastAsia="仿宋_GB2312"/>
          <w:bCs/>
          <w:sz w:val="32"/>
          <w:szCs w:val="32"/>
          <w:lang w:val="en-US" w:eastAsia="zh-CN"/>
        </w:rPr>
        <w:t>等危险废物须按照《危险废物收集贮存运输技术规范》（HJ2025-2012）进行收集、贮存及运输，并交由有相应资质的单位进行处理、处置；危险废物暂存库应按《危险废物贮存污染控制标准》（GB18597-2001）进行建设和管理。</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default" w:ascii="Times New Roman" w:hAnsi="Times New Roman" w:eastAsia="仿宋_GB2312" w:cs="Times New Roman"/>
          <w:color w:val="0070C0"/>
          <w:kern w:val="2"/>
          <w:sz w:val="32"/>
          <w:szCs w:val="32"/>
          <w:lang w:val="en-US" w:eastAsia="zh-CN" w:bidi="ar-SA"/>
        </w:rPr>
      </w:pPr>
      <w:r>
        <w:rPr>
          <w:rFonts w:hint="eastAsia" w:eastAsia="仿宋_GB2312"/>
          <w:bCs/>
          <w:sz w:val="32"/>
          <w:szCs w:val="32"/>
          <w:lang w:val="en-US" w:eastAsia="zh-CN"/>
        </w:rPr>
        <w:t>碎边角料、不合格品和布袋除尘灰均回用于生产</w:t>
      </w:r>
      <w:r>
        <w:rPr>
          <w:rFonts w:hint="default" w:eastAsia="仿宋_GB2312"/>
          <w:bCs/>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bCs/>
          <w:sz w:val="32"/>
          <w:szCs w:val="32"/>
          <w:lang w:val="en-US" w:eastAsia="zh-CN"/>
        </w:rPr>
      </w:pPr>
      <w:r>
        <w:rPr>
          <w:rFonts w:hint="eastAsia" w:eastAsia="仿宋_GB2312"/>
          <w:bCs/>
          <w:sz w:val="32"/>
          <w:szCs w:val="32"/>
          <w:lang w:val="en-US" w:eastAsia="zh-CN"/>
        </w:rPr>
        <w:t>6.认真落实《天津市涉气工业污染源自动监控系统建设工作方案》的要求，并做好排污口规范化工作：</w:t>
      </w:r>
      <w:r>
        <w:rPr>
          <w:rFonts w:hint="default" w:eastAsia="仿宋_GB2312"/>
          <w:bCs/>
          <w:sz w:val="32"/>
          <w:szCs w:val="32"/>
          <w:lang w:val="en-US" w:eastAsia="zh-CN"/>
        </w:rPr>
        <w:t>设置规范的废气采样点，悬挂符合要求的标识牌</w:t>
      </w:r>
      <w:r>
        <w:rPr>
          <w:rFonts w:hint="eastAsia" w:eastAsia="仿宋_GB2312"/>
          <w:bCs/>
          <w:sz w:val="32"/>
          <w:szCs w:val="32"/>
          <w:lang w:val="en-US"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bCs/>
          <w:sz w:val="32"/>
          <w:szCs w:val="32"/>
          <w:lang w:val="en-US" w:eastAsia="zh-CN"/>
        </w:rPr>
      </w:pPr>
      <w:r>
        <w:rPr>
          <w:rFonts w:hint="eastAsia" w:eastAsia="仿宋_GB2312"/>
          <w:bCs/>
          <w:sz w:val="32"/>
          <w:szCs w:val="32"/>
          <w:lang w:val="en-US" w:eastAsia="zh-CN"/>
        </w:rPr>
        <w:t>7.强化各项环境风险防范措施，并</w:t>
      </w:r>
      <w:r>
        <w:rPr>
          <w:rFonts w:hint="default" w:eastAsia="仿宋_GB2312"/>
          <w:bCs/>
          <w:sz w:val="32"/>
          <w:szCs w:val="32"/>
          <w:lang w:val="en-US" w:eastAsia="zh-CN"/>
        </w:rPr>
        <w:t>按照《突发环境事件应急预案管理办法》编制环境风险应急预案，交区</w:t>
      </w:r>
      <w:r>
        <w:rPr>
          <w:rFonts w:hint="eastAsia" w:eastAsia="仿宋_GB2312"/>
          <w:bCs/>
          <w:sz w:val="32"/>
          <w:szCs w:val="32"/>
          <w:lang w:val="en-US" w:eastAsia="zh-CN"/>
        </w:rPr>
        <w:t>生态环境局</w:t>
      </w:r>
      <w:r>
        <w:rPr>
          <w:rFonts w:hint="default" w:eastAsia="仿宋_GB2312"/>
          <w:bCs/>
          <w:sz w:val="32"/>
          <w:szCs w:val="32"/>
          <w:lang w:val="en-US" w:eastAsia="zh-CN"/>
        </w:rPr>
        <w:t>备案。</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baseline"/>
        <w:outlineLvl w:val="9"/>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rPr>
        <w:t>三</w:t>
      </w:r>
      <w:r>
        <w:rPr>
          <w:rFonts w:hint="default" w:eastAsia="仿宋_GB2312"/>
          <w:color w:val="auto"/>
          <w:sz w:val="32"/>
          <w:szCs w:val="32"/>
        </w:rPr>
        <w:t>、</w:t>
      </w:r>
      <w:r>
        <w:rPr>
          <w:rFonts w:hint="default" w:ascii="Times New Roman" w:hAnsi="Times New Roman" w:eastAsia="仿宋_GB2312" w:cs="Times New Roman"/>
          <w:sz w:val="32"/>
          <w:szCs w:val="32"/>
        </w:rPr>
        <w:t>该项目无新增污染物排放总量。</w:t>
      </w:r>
    </w:p>
    <w:p>
      <w:pPr>
        <w:pStyle w:val="10"/>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hint="default" w:ascii="Times New Roman" w:hAnsi="Times New Roman" w:eastAsia="仿宋_GB2312" w:cs="Times New Roman"/>
          <w:color w:val="auto"/>
          <w:sz w:val="32"/>
          <w:szCs w:val="32"/>
        </w:rPr>
      </w:pPr>
      <w:r>
        <w:rPr>
          <w:rFonts w:hint="eastAsia" w:ascii="仿宋_GB2312" w:eastAsia="仿宋_GB2312"/>
          <w:color w:val="auto"/>
          <w:sz w:val="32"/>
          <w:szCs w:val="32"/>
        </w:rPr>
        <w:t>四、</w:t>
      </w:r>
      <w:r>
        <w:rPr>
          <w:rFonts w:hint="default" w:ascii="Times New Roman" w:hAnsi="Times New Roman" w:eastAsia="仿宋_GB2312" w:cs="Times New Roman"/>
          <w:color w:val="auto"/>
          <w:sz w:val="32"/>
          <w:szCs w:val="32"/>
        </w:rPr>
        <w:t>项目建设应严格执行环境保护设施与主体工程同时设计、同时施工、同时投产使用的</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三同时</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管理制度</w:t>
      </w:r>
      <w:r>
        <w:rPr>
          <w:rFonts w:hint="eastAsia" w:eastAsia="仿宋_GB2312" w:cs="Times New Roman"/>
          <w:color w:val="auto"/>
          <w:sz w:val="32"/>
          <w:szCs w:val="32"/>
          <w:lang w:eastAsia="zh-CN"/>
        </w:rPr>
        <w:t>；</w:t>
      </w:r>
      <w:r>
        <w:rPr>
          <w:rFonts w:hint="default" w:ascii="Times New Roman" w:hAnsi="Times New Roman" w:eastAsia="仿宋_GB2312" w:cs="Times New Roman"/>
          <w:color w:val="auto"/>
          <w:sz w:val="32"/>
          <w:szCs w:val="32"/>
        </w:rPr>
        <w:t>项目竣工后，按规定的标准和程序开展环境保护验收，经验收合格后方可正式投入</w:t>
      </w:r>
      <w:r>
        <w:rPr>
          <w:rFonts w:hint="default" w:ascii="Times New Roman" w:hAnsi="Times New Roman" w:eastAsia="仿宋_GB2312" w:cs="Times New Roman"/>
          <w:color w:val="auto"/>
          <w:sz w:val="32"/>
          <w:szCs w:val="32"/>
          <w:lang w:val="en-US" w:eastAsia="zh-CN"/>
        </w:rPr>
        <w:t>使用；</w:t>
      </w:r>
      <w:r>
        <w:rPr>
          <w:rFonts w:hint="default" w:eastAsia="仿宋_GB2312" w:cs="Times New Roman"/>
          <w:color w:val="auto"/>
          <w:sz w:val="32"/>
          <w:szCs w:val="32"/>
          <w:lang w:val="en" w:eastAsia="zh-CN"/>
        </w:rPr>
        <w:t>你厂</w:t>
      </w:r>
      <w:r>
        <w:rPr>
          <w:rFonts w:hint="default" w:ascii="Times New Roman" w:hAnsi="Times New Roman" w:eastAsia="仿宋_GB2312" w:cs="Times New Roman"/>
          <w:color w:val="auto"/>
          <w:sz w:val="32"/>
          <w:szCs w:val="32"/>
          <w:lang w:eastAsia="zh-CN"/>
        </w:rPr>
        <w:t>在</w:t>
      </w:r>
      <w:r>
        <w:rPr>
          <w:rFonts w:hint="eastAsia" w:eastAsia="仿宋_GB2312" w:cs="Times New Roman"/>
          <w:color w:val="auto"/>
          <w:sz w:val="32"/>
          <w:szCs w:val="32"/>
          <w:lang w:val="en-US" w:eastAsia="zh-CN"/>
        </w:rPr>
        <w:t>该项目</w:t>
      </w:r>
      <w:r>
        <w:rPr>
          <w:rFonts w:hint="default" w:ascii="Times New Roman" w:hAnsi="Times New Roman" w:eastAsia="仿宋_GB2312" w:cs="Times New Roman"/>
          <w:color w:val="auto"/>
          <w:sz w:val="32"/>
          <w:szCs w:val="32"/>
          <w:lang w:eastAsia="zh-CN"/>
        </w:rPr>
        <w:t>启动生产设施或者发生实际排污之前，</w:t>
      </w:r>
      <w:r>
        <w:rPr>
          <w:rFonts w:hint="default" w:ascii="Times New Roman" w:hAnsi="Times New Roman" w:eastAsia="仿宋_GB2312" w:cs="Times New Roman"/>
          <w:color w:val="auto"/>
          <w:sz w:val="32"/>
          <w:szCs w:val="32"/>
          <w:lang w:val="en-US" w:eastAsia="zh-CN"/>
        </w:rPr>
        <w:t>应</w:t>
      </w:r>
      <w:r>
        <w:rPr>
          <w:rFonts w:hint="default" w:ascii="Times New Roman" w:hAnsi="Times New Roman" w:eastAsia="仿宋_GB2312" w:cs="Times New Roman"/>
          <w:color w:val="auto"/>
          <w:sz w:val="32"/>
          <w:szCs w:val="32"/>
          <w:lang w:eastAsia="zh-CN"/>
        </w:rPr>
        <w:t>按照法律法规要求，做好排污许可管理相关工作；</w:t>
      </w:r>
      <w:r>
        <w:rPr>
          <w:rFonts w:hint="default" w:ascii="Times New Roman" w:hAnsi="Times New Roman" w:eastAsia="仿宋_GB2312" w:cs="Times New Roman"/>
          <w:color w:val="auto"/>
          <w:sz w:val="32"/>
          <w:szCs w:val="32"/>
        </w:rPr>
        <w:t>若项目的性质、规模、地点、生产工艺或防治污染的措施发生重大变动，</w:t>
      </w:r>
      <w:r>
        <w:rPr>
          <w:rFonts w:hint="default" w:ascii="Times New Roman" w:hAnsi="Times New Roman" w:eastAsia="仿宋_GB2312" w:cs="Times New Roman"/>
          <w:color w:val="auto"/>
          <w:sz w:val="32"/>
          <w:szCs w:val="32"/>
          <w:lang w:eastAsia="zh-CN"/>
        </w:rPr>
        <w:t>须</w:t>
      </w:r>
      <w:r>
        <w:rPr>
          <w:rFonts w:hint="default" w:ascii="Times New Roman" w:hAnsi="Times New Roman" w:eastAsia="仿宋_GB2312" w:cs="Times New Roman"/>
          <w:color w:val="auto"/>
          <w:sz w:val="32"/>
          <w:szCs w:val="32"/>
        </w:rPr>
        <w:t>重新报批环境影响评价文件。</w:t>
      </w:r>
    </w:p>
    <w:p>
      <w:pPr>
        <w:pStyle w:val="10"/>
        <w:keepNext w:val="0"/>
        <w:keepLines w:val="0"/>
        <w:pageBreakBefore w:val="0"/>
        <w:widowControl w:val="0"/>
        <w:kinsoku/>
        <w:wordWrap/>
        <w:overflowPunct/>
        <w:topLinePunct w:val="0"/>
        <w:autoSpaceDE/>
        <w:autoSpaceDN/>
        <w:bidi w:val="0"/>
        <w:snapToGrid/>
        <w:spacing w:line="360" w:lineRule="auto"/>
        <w:ind w:firstLine="662" w:firstLineChars="207"/>
        <w:outlineLvl w:val="9"/>
        <w:rPr>
          <w:rFonts w:eastAsia="仿宋_GB2312"/>
          <w:color w:val="auto"/>
          <w:sz w:val="32"/>
          <w:szCs w:val="32"/>
        </w:rPr>
      </w:pPr>
      <w:r>
        <w:rPr>
          <w:rFonts w:hint="eastAsia" w:eastAsia="仿宋_GB2312" w:cs="Times New Roman"/>
          <w:color w:val="auto"/>
          <w:sz w:val="32"/>
          <w:szCs w:val="32"/>
          <w:lang w:val="en-US" w:eastAsia="zh-CN"/>
        </w:rPr>
        <w:t>五、</w:t>
      </w:r>
      <w:r>
        <w:rPr>
          <w:rFonts w:hint="eastAsia" w:eastAsia="仿宋_GB2312"/>
          <w:color w:val="auto"/>
          <w:sz w:val="32"/>
          <w:szCs w:val="32"/>
          <w:lang w:eastAsia="zh-CN"/>
        </w:rPr>
        <w:t>项目</w:t>
      </w:r>
      <w:r>
        <w:rPr>
          <w:rFonts w:hint="eastAsia" w:eastAsia="仿宋_GB2312"/>
          <w:color w:val="auto"/>
          <w:sz w:val="32"/>
          <w:szCs w:val="32"/>
        </w:rPr>
        <w:t>应执行以下标准：</w:t>
      </w:r>
    </w:p>
    <w:p>
      <w:pPr>
        <w:keepNext w:val="0"/>
        <w:keepLines w:val="0"/>
        <w:pageBreakBefore w:val="0"/>
        <w:widowControl w:val="0"/>
        <w:kinsoku/>
        <w:wordWrap/>
        <w:overflowPunct/>
        <w:topLinePunct w:val="0"/>
        <w:autoSpaceDE/>
        <w:autoSpaceDN/>
        <w:bidi w:val="0"/>
        <w:snapToGrid/>
        <w:spacing w:line="360" w:lineRule="auto"/>
        <w:ind w:left="8958" w:leftChars="304" w:hanging="8320" w:hangingChars="2600"/>
        <w:textAlignment w:val="baseline"/>
        <w:outlineLvl w:val="9"/>
        <w:rPr>
          <w:rFonts w:hint="eastAsia" w:eastAsia="仿宋_GB2312"/>
          <w:color w:val="auto"/>
          <w:sz w:val="32"/>
          <w:szCs w:val="32"/>
        </w:rPr>
      </w:pPr>
      <w:r>
        <w:rPr>
          <w:rFonts w:hint="eastAsia" w:eastAsia="仿宋_GB2312"/>
          <w:color w:val="auto"/>
          <w:sz w:val="32"/>
          <w:szCs w:val="32"/>
        </w:rPr>
        <w:t>1.《环境空气质量标准》（GB3095</w:t>
      </w:r>
      <w:r>
        <w:rPr>
          <w:rFonts w:hint="eastAsia" w:eastAsia="仿宋_GB2312"/>
          <w:color w:val="auto"/>
          <w:sz w:val="32"/>
          <w:szCs w:val="32"/>
          <w:lang w:val="en-US" w:eastAsia="zh-CN"/>
        </w:rPr>
        <w:t>-</w:t>
      </w:r>
      <w:r>
        <w:rPr>
          <w:rFonts w:hint="eastAsia" w:eastAsia="仿宋_GB2312"/>
          <w:color w:val="auto"/>
          <w:sz w:val="32"/>
          <w:szCs w:val="32"/>
        </w:rPr>
        <w:t>2012）二级；</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olor w:val="auto"/>
          <w:sz w:val="32"/>
          <w:szCs w:val="32"/>
        </w:rPr>
        <w:t>2</w:t>
      </w:r>
      <w:r>
        <w:rPr>
          <w:rFonts w:eastAsia="仿宋_GB2312"/>
          <w:color w:val="auto"/>
          <w:sz w:val="32"/>
          <w:szCs w:val="32"/>
        </w:rPr>
        <w:t>.</w:t>
      </w:r>
      <w:r>
        <w:rPr>
          <w:rFonts w:hint="eastAsia" w:eastAsia="仿宋_GB2312"/>
          <w:color w:val="auto"/>
          <w:sz w:val="32"/>
          <w:szCs w:val="32"/>
        </w:rPr>
        <w:t>《声环境质量标准》（GB3096-2008）</w:t>
      </w:r>
      <w:r>
        <w:rPr>
          <w:rFonts w:hint="eastAsia" w:eastAsia="仿宋_GB2312"/>
          <w:color w:val="auto"/>
          <w:sz w:val="32"/>
          <w:szCs w:val="32"/>
          <w:lang w:val="en-US" w:eastAsia="zh-CN"/>
        </w:rPr>
        <w:t>2类</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ascii="Times New Roman" w:hAnsi="Times New Roman" w:eastAsia="仿宋_GB2312" w:cs="Times New Roman"/>
          <w:color w:val="auto"/>
          <w:sz w:val="32"/>
          <w:szCs w:val="32"/>
          <w:lang w:val="en-US" w:eastAsia="zh-CN"/>
        </w:rPr>
      </w:pPr>
      <w:r>
        <w:rPr>
          <w:rFonts w:hint="eastAsia" w:eastAsia="仿宋_GB2312"/>
          <w:color w:val="auto"/>
          <w:sz w:val="32"/>
          <w:szCs w:val="32"/>
        </w:rPr>
        <w:t>3</w:t>
      </w:r>
      <w:r>
        <w:rPr>
          <w:rFonts w:eastAsia="仿宋_GB2312"/>
          <w:color w:val="auto"/>
          <w:sz w:val="32"/>
          <w:szCs w:val="32"/>
        </w:rPr>
        <w:t>.《</w:t>
      </w:r>
      <w:r>
        <w:rPr>
          <w:rFonts w:hint="eastAsia" w:eastAsia="仿宋_GB2312"/>
          <w:color w:val="auto"/>
          <w:sz w:val="32"/>
          <w:szCs w:val="32"/>
        </w:rPr>
        <w:t>水泥工业大气污染物排放标准</w:t>
      </w:r>
      <w:r>
        <w:rPr>
          <w:rFonts w:eastAsia="仿宋_GB2312"/>
          <w:color w:val="auto"/>
          <w:sz w:val="32"/>
          <w:szCs w:val="32"/>
        </w:rPr>
        <w:t>》（GB4915-2013）</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4.</w:t>
      </w:r>
      <w:r>
        <w:rPr>
          <w:rFonts w:hint="eastAsia" w:eastAsia="仿宋_GB2312"/>
          <w:color w:val="auto"/>
          <w:sz w:val="32"/>
          <w:szCs w:val="32"/>
        </w:rPr>
        <w:t>《工业企业厂界环境噪声排放标准》（GB12348-2008）</w:t>
      </w:r>
      <w:r>
        <w:rPr>
          <w:rFonts w:hint="eastAsia" w:eastAsia="仿宋_GB2312"/>
          <w:color w:val="auto"/>
          <w:sz w:val="32"/>
          <w:szCs w:val="32"/>
          <w:lang w:val="en-US" w:eastAsia="zh-CN"/>
        </w:rPr>
        <w:t>2类</w:t>
      </w:r>
      <w:r>
        <w:rPr>
          <w:rFonts w:hint="eastAsia" w:eastAsia="仿宋_GB2312"/>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《危险废物贮存污染控制标准》（GB18597-2001）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val="en-US" w:eastAsia="zh-CN"/>
        </w:rPr>
      </w:pPr>
      <w:r>
        <w:rPr>
          <w:rFonts w:hint="eastAsia" w:eastAsia="仿宋_GB2312"/>
          <w:color w:val="auto"/>
          <w:sz w:val="32"/>
          <w:szCs w:val="32"/>
          <w:lang w:val="en-US" w:eastAsia="zh-CN"/>
        </w:rPr>
        <w:t>6.</w:t>
      </w:r>
      <w:r>
        <w:rPr>
          <w:rFonts w:hint="default" w:ascii="Times New Roman" w:hAnsi="Times New Roman" w:eastAsia="仿宋_GB2312" w:cs="Times New Roman"/>
          <w:color w:val="auto"/>
          <w:sz w:val="32"/>
          <w:szCs w:val="32"/>
          <w:lang w:eastAsia="zh-CN"/>
        </w:rPr>
        <w:t>《危险废物收集贮存</w:t>
      </w:r>
      <w:r>
        <w:rPr>
          <w:rFonts w:hint="default" w:ascii="Times New Roman" w:hAnsi="Times New Roman" w:eastAsia="仿宋_GB2312" w:cs="Times New Roman"/>
          <w:color w:val="auto"/>
          <w:sz w:val="32"/>
          <w:szCs w:val="32"/>
        </w:rPr>
        <w:t>运输技术规范》（HJ2025-2012）</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30"/>
        <w:textAlignment w:val="baseline"/>
        <w:outlineLvl w:val="9"/>
        <w:rPr>
          <w:rFonts w:hint="eastAsia" w:eastAsia="仿宋_GB2312"/>
          <w:color w:val="auto"/>
          <w:sz w:val="32"/>
          <w:szCs w:val="32"/>
          <w:lang w:eastAsia="zh-CN"/>
        </w:rPr>
      </w:pPr>
      <w:r>
        <w:rPr>
          <w:rFonts w:hint="eastAsia" w:eastAsia="仿宋_GB2312"/>
          <w:color w:val="auto"/>
          <w:sz w:val="32"/>
          <w:szCs w:val="32"/>
          <w:lang w:val="en-US" w:eastAsia="zh-CN"/>
        </w:rPr>
        <w:t>7.</w:t>
      </w:r>
      <w:r>
        <w:rPr>
          <w:rFonts w:hint="eastAsia" w:eastAsia="仿宋_GB2312"/>
          <w:color w:val="auto"/>
          <w:sz w:val="32"/>
          <w:szCs w:val="32"/>
        </w:rPr>
        <w:t>《</w:t>
      </w:r>
      <w:r>
        <w:rPr>
          <w:rFonts w:eastAsia="仿宋_GB2312"/>
          <w:color w:val="auto"/>
          <w:sz w:val="32"/>
          <w:szCs w:val="32"/>
        </w:rPr>
        <w:t>一般工业固体废物贮存、</w:t>
      </w:r>
      <w:r>
        <w:rPr>
          <w:rFonts w:hint="eastAsia" w:eastAsia="仿宋_GB2312"/>
          <w:color w:val="auto"/>
          <w:sz w:val="32"/>
          <w:szCs w:val="32"/>
        </w:rPr>
        <w:t>处置</w:t>
      </w:r>
      <w:r>
        <w:rPr>
          <w:rFonts w:eastAsia="仿宋_GB2312"/>
          <w:color w:val="auto"/>
          <w:sz w:val="32"/>
          <w:szCs w:val="32"/>
        </w:rPr>
        <w:t>场污染控制标准</w:t>
      </w:r>
      <w:r>
        <w:rPr>
          <w:rFonts w:hint="eastAsia" w:eastAsia="仿宋_GB2312"/>
          <w:color w:val="auto"/>
          <w:sz w:val="32"/>
          <w:szCs w:val="32"/>
        </w:rPr>
        <w:t>》（</w:t>
      </w:r>
      <w:r>
        <w:rPr>
          <w:rFonts w:eastAsia="仿宋_GB2312"/>
          <w:color w:val="auto"/>
          <w:sz w:val="32"/>
          <w:szCs w:val="32"/>
        </w:rPr>
        <w:t>GB18599-2001</w:t>
      </w:r>
      <w:r>
        <w:rPr>
          <w:rFonts w:hint="eastAsia" w:eastAsia="仿宋_GB2312"/>
          <w:color w:val="auto"/>
          <w:sz w:val="32"/>
          <w:szCs w:val="32"/>
        </w:rPr>
        <w:t>）</w:t>
      </w:r>
      <w:r>
        <w:rPr>
          <w:rFonts w:hint="eastAsia" w:eastAsia="仿宋_GB2312"/>
          <w:color w:val="auto"/>
          <w:sz w:val="32"/>
          <w:szCs w:val="32"/>
          <w:lang w:eastAsia="zh-CN"/>
        </w:rPr>
        <w:t>；</w:t>
      </w:r>
    </w:p>
    <w:p>
      <w:pPr>
        <w:pStyle w:val="2"/>
        <w:pageBreakBefore w:val="0"/>
        <w:widowControl w:val="0"/>
        <w:kinsoku/>
        <w:overflowPunct/>
        <w:topLinePunct w:val="0"/>
        <w:autoSpaceDE/>
        <w:autoSpaceDN/>
        <w:bidi w:val="0"/>
        <w:snapToGrid/>
        <w:spacing w:line="360" w:lineRule="auto"/>
        <w:rPr>
          <w:rFonts w:hint="eastAsia" w:eastAsia="仿宋_GB2312"/>
          <w:color w:val="auto"/>
          <w:lang w:val="en-US" w:eastAsia="zh-CN"/>
        </w:rPr>
      </w:pPr>
      <w:r>
        <w:rPr>
          <w:rFonts w:hint="eastAsia" w:eastAsia="仿宋_GB2312"/>
          <w:color w:val="auto"/>
          <w:sz w:val="32"/>
          <w:szCs w:val="32"/>
          <w:lang w:val="en-US" w:eastAsia="zh-CN"/>
        </w:rPr>
        <w:t xml:space="preserve">    8.</w:t>
      </w:r>
      <w:r>
        <w:rPr>
          <w:rFonts w:hint="default" w:ascii="Times New Roman" w:hAnsi="Times New Roman" w:eastAsia="仿宋_GB2312" w:cs="Times New Roman"/>
          <w:color w:val="auto"/>
          <w:sz w:val="32"/>
          <w:szCs w:val="32"/>
        </w:rPr>
        <w:t>《建筑施工场界环境噪声排放标准》（GB12523-2011）</w:t>
      </w:r>
      <w:r>
        <w:rPr>
          <w:rFonts w:hint="eastAsia" w:eastAsia="仿宋_GB2312" w:cs="Times New Roman"/>
          <w:color w:val="auto"/>
          <w:sz w:val="32"/>
          <w:szCs w:val="32"/>
          <w:lang w:eastAsia="zh-CN"/>
        </w:rPr>
        <w:t>。</w:t>
      </w:r>
    </w:p>
    <w:p>
      <w:pPr>
        <w:keepNext w:val="0"/>
        <w:keepLines w:val="0"/>
        <w:pageBreakBefore w:val="0"/>
        <w:widowControl w:val="0"/>
        <w:kinsoku/>
        <w:wordWrap/>
        <w:overflowPunct/>
        <w:topLinePunct w:val="0"/>
        <w:autoSpaceDE/>
        <w:autoSpaceDN/>
        <w:bidi w:val="0"/>
        <w:snapToGrid/>
        <w:spacing w:line="360" w:lineRule="auto"/>
        <w:ind w:firstLine="640" w:firstLineChars="200"/>
        <w:textAlignment w:val="baseline"/>
        <w:outlineLvl w:val="9"/>
        <w:rPr>
          <w:rFonts w:hint="eastAsia" w:eastAsia="仿宋_GB2312"/>
          <w:color w:val="auto"/>
          <w:sz w:val="32"/>
          <w:szCs w:val="32"/>
        </w:rPr>
      </w:pPr>
      <w:r>
        <w:rPr>
          <w:rFonts w:hint="eastAsia" w:eastAsia="仿宋_GB2312"/>
          <w:color w:val="auto"/>
          <w:sz w:val="32"/>
          <w:szCs w:val="32"/>
        </w:rPr>
        <w:t>此复</w:t>
      </w:r>
    </w:p>
    <w:p>
      <w:pPr>
        <w:pStyle w:val="2"/>
        <w:rPr>
          <w:rFonts w:hint="eastAsia" w:eastAsia="仿宋_GB2312"/>
          <w:color w:val="auto"/>
          <w:sz w:val="32"/>
          <w:szCs w:val="32"/>
        </w:rPr>
      </w:pPr>
    </w:p>
    <w:p>
      <w:pPr>
        <w:rPr>
          <w:rFonts w:hint="eastAsia" w:eastAsia="仿宋_GB2312"/>
          <w:color w:val="auto"/>
          <w:sz w:val="32"/>
          <w:szCs w:val="32"/>
        </w:rPr>
      </w:pPr>
    </w:p>
    <w:p>
      <w:pPr>
        <w:pStyle w:val="2"/>
        <w:rPr>
          <w:rFonts w:hint="eastAsia" w:eastAsia="仿宋_GB2312"/>
          <w:color w:val="auto"/>
          <w:sz w:val="32"/>
          <w:szCs w:val="32"/>
        </w:rPr>
      </w:pPr>
    </w:p>
    <w:p>
      <w:pPr>
        <w:rPr>
          <w:rFonts w:hint="eastAsia"/>
        </w:rPr>
      </w:pPr>
    </w:p>
    <w:p>
      <w:pPr>
        <w:keepNext w:val="0"/>
        <w:keepLines w:val="0"/>
        <w:pageBreakBefore w:val="0"/>
        <w:widowControl w:val="0"/>
        <w:kinsoku/>
        <w:wordWrap w:val="0"/>
        <w:overflowPunct/>
        <w:topLinePunct w:val="0"/>
        <w:autoSpaceDE/>
        <w:autoSpaceDN/>
        <w:bidi w:val="0"/>
        <w:snapToGrid/>
        <w:spacing w:line="360" w:lineRule="auto"/>
        <w:jc w:val="right"/>
        <w:textAlignment w:val="baseline"/>
        <w:outlineLvl w:val="9"/>
        <w:rPr>
          <w:rFonts w:hint="eastAsia"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21</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rPr>
        <w:t>月</w:t>
      </w:r>
      <w:r>
        <w:rPr>
          <w:rFonts w:hint="eastAsia" w:eastAsia="仿宋_GB2312" w:cs="Times New Roman"/>
          <w:color w:val="auto"/>
          <w:sz w:val="32"/>
          <w:szCs w:val="32"/>
          <w:lang w:val="en-US" w:eastAsia="zh-CN"/>
        </w:rPr>
        <w:t>29</w:t>
      </w:r>
      <w:r>
        <w:rPr>
          <w:rFonts w:hint="default" w:ascii="Times New Roman" w:hAnsi="Times New Roman" w:eastAsia="仿宋_GB2312" w:cs="Times New Roman"/>
          <w:color w:val="auto"/>
          <w:sz w:val="32"/>
          <w:szCs w:val="32"/>
        </w:rPr>
        <w:t>日</w:t>
      </w:r>
      <w:r>
        <w:rPr>
          <w:rFonts w:hint="eastAsia" w:eastAsia="仿宋_GB2312" w:cs="Times New Roman"/>
          <w:color w:val="auto"/>
          <w:sz w:val="32"/>
          <w:szCs w:val="32"/>
          <w:lang w:val="en-US" w:eastAsia="zh-CN"/>
        </w:rPr>
        <w:t xml:space="preserve">    </w:t>
      </w:r>
    </w:p>
    <w:p>
      <w:pPr>
        <w:pStyle w:val="2"/>
        <w:wordWrap/>
        <w:rPr>
          <w:rFonts w:hint="eastAsia" w:eastAsia="仿宋_GB2312" w:cs="Times New Roman"/>
          <w:color w:val="auto"/>
          <w:sz w:val="32"/>
          <w:szCs w:val="32"/>
          <w:lang w:val="en-US" w:eastAsia="zh-CN"/>
        </w:rPr>
      </w:pPr>
    </w:p>
    <w:p>
      <w:pPr>
        <w:rPr>
          <w:rFonts w:hint="eastAsia" w:eastAsia="仿宋_GB2312" w:cs="Times New Roman"/>
          <w:color w:val="auto"/>
          <w:sz w:val="32"/>
          <w:szCs w:val="32"/>
          <w:lang w:val="en-US" w:eastAsia="zh-CN"/>
        </w:rPr>
      </w:pPr>
    </w:p>
    <w:p>
      <w:pPr>
        <w:pStyle w:val="2"/>
        <w:rPr>
          <w:rFonts w:hint="eastAsia" w:eastAsia="仿宋_GB2312" w:cs="Times New Roman"/>
          <w:color w:val="auto"/>
          <w:sz w:val="32"/>
          <w:szCs w:val="32"/>
          <w:lang w:val="en-US" w:eastAsia="zh-CN"/>
        </w:rPr>
      </w:pPr>
    </w:p>
    <w:p>
      <w:pPr>
        <w:rPr>
          <w:rFonts w:hint="eastAsia" w:eastAsia="仿宋_GB2312" w:cs="Times New Roman"/>
          <w:color w:val="auto"/>
          <w:sz w:val="32"/>
          <w:szCs w:val="32"/>
          <w:lang w:val="en-US" w:eastAsia="zh-CN"/>
        </w:rPr>
      </w:pPr>
    </w:p>
    <w:p>
      <w:pPr>
        <w:rPr>
          <w:rFonts w:hint="eastAsia" w:eastAsia="仿宋_GB2312" w:cs="Times New Roman"/>
          <w:color w:val="auto"/>
          <w:sz w:val="32"/>
          <w:szCs w:val="32"/>
          <w:lang w:val="en-US" w:eastAsia="zh-CN"/>
        </w:rPr>
      </w:pPr>
    </w:p>
    <w:p>
      <w:pPr>
        <w:rPr>
          <w:rFonts w:hint="eastAsia"/>
          <w:lang w:val="en-US" w:eastAsia="zh-CN"/>
        </w:rPr>
      </w:pPr>
    </w:p>
    <w:p>
      <w:pPr>
        <w:spacing w:line="680" w:lineRule="exact"/>
        <w:ind w:firstLine="280" w:firstLineChars="100"/>
        <w:rPr>
          <w:rFonts w:hint="default" w:ascii="Times New Roman" w:hAnsi="Times New Roman" w:eastAsia="仿宋_GB2312" w:cs="Times New Roman"/>
          <w:color w:val="auto"/>
          <w:sz w:val="28"/>
          <w:szCs w:val="28"/>
          <w:highlight w:val="none"/>
        </w:rPr>
      </w:pPr>
      <w:r>
        <w:rPr>
          <w:rFonts w:hint="default" w:ascii="Times New Roman" w:hAnsi="Times New Roman" w:eastAsia="仿宋_GB2312" w:cs="Times New Roman"/>
          <w:color w:val="auto"/>
          <w:sz w:val="28"/>
          <w:szCs w:val="28"/>
          <w:highlight w:val="none"/>
        </w:rPr>
        <w:t>主题词：环境影响 报告</w:t>
      </w:r>
      <w:r>
        <w:rPr>
          <w:rFonts w:hint="default" w:ascii="Times New Roman" w:hAnsi="Times New Roman" w:eastAsia="仿宋_GB2312" w:cs="Times New Roman"/>
          <w:color w:val="auto"/>
          <w:sz w:val="28"/>
          <w:szCs w:val="28"/>
          <w:highlight w:val="none"/>
          <w:lang w:eastAsia="zh-CN"/>
        </w:rPr>
        <w:t>表</w:t>
      </w:r>
      <w:r>
        <w:rPr>
          <w:rFonts w:hint="default" w:ascii="Times New Roman" w:hAnsi="Times New Roman" w:eastAsia="仿宋_GB2312" w:cs="Times New Roman"/>
          <w:color w:val="auto"/>
          <w:sz w:val="28"/>
          <w:szCs w:val="28"/>
          <w:highlight w:val="none"/>
        </w:rPr>
        <w:t xml:space="preserve"> 批复                  </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 xml:space="preserve"> （共印4份）</w:t>
      </w:r>
    </w:p>
    <w:tbl>
      <w:tblPr>
        <w:tblStyle w:val="5"/>
        <w:tblW w:w="9054" w:type="dxa"/>
        <w:tblInd w:w="0" w:type="dxa"/>
        <w:tblBorders>
          <w:top w:val="none" w:color="auto" w:sz="0" w:space="0"/>
          <w:left w:val="none" w:color="auto" w:sz="0" w:space="0"/>
          <w:bottom w:val="none" w:color="auto" w:sz="0" w:space="0"/>
          <w:right w:val="none" w:color="auto" w:sz="0" w:space="0"/>
          <w:insideH w:val="single" w:color="auto" w:sz="8" w:space="0"/>
          <w:insideV w:val="none" w:color="auto" w:sz="0" w:space="0"/>
        </w:tblBorders>
        <w:tblLayout w:type="fixed"/>
        <w:tblCellMar>
          <w:top w:w="0" w:type="dxa"/>
          <w:left w:w="108" w:type="dxa"/>
          <w:bottom w:w="0" w:type="dxa"/>
          <w:right w:w="108" w:type="dxa"/>
        </w:tblCellMar>
      </w:tblPr>
      <w:tblGrid>
        <w:gridCol w:w="9054"/>
      </w:tblGrid>
      <w:tr>
        <w:tblPrEx>
          <w:tblBorders>
            <w:top w:val="none" w:color="auto" w:sz="0" w:space="0"/>
            <w:left w:val="none" w:color="auto" w:sz="0" w:space="0"/>
            <w:bottom w:val="none" w:color="auto" w:sz="0" w:space="0"/>
            <w:right w:val="none" w:color="auto" w:sz="0" w:space="0"/>
            <w:insideH w:val="single" w:color="auto" w:sz="8" w:space="0"/>
            <w:insideV w:val="none" w:color="auto" w:sz="0" w:space="0"/>
          </w:tblBorders>
          <w:tblCellMar>
            <w:top w:w="0" w:type="dxa"/>
            <w:left w:w="108" w:type="dxa"/>
            <w:bottom w:w="0" w:type="dxa"/>
            <w:right w:w="108" w:type="dxa"/>
          </w:tblCellMar>
        </w:tblPrEx>
        <w:trPr>
          <w:trHeight w:val="567" w:hRule="atLeast"/>
        </w:trPr>
        <w:tc>
          <w:tcPr>
            <w:tcW w:w="9054" w:type="dxa"/>
            <w:tcBorders>
              <w:top w:val="single" w:color="auto" w:sz="8" w:space="0"/>
              <w:bottom w:val="single" w:color="auto" w:sz="8" w:space="0"/>
            </w:tcBorders>
            <w:vAlign w:val="top"/>
          </w:tcPr>
          <w:p>
            <w:pPr>
              <w:spacing w:line="680" w:lineRule="exact"/>
              <w:ind w:right="160" w:firstLine="280" w:firstLineChars="100"/>
              <w:rPr>
                <w:rFonts w:hint="default" w:ascii="Times New Roman" w:hAnsi="Times New Roman" w:cs="Times New Roman"/>
                <w:color w:val="auto"/>
                <w:sz w:val="32"/>
                <w:highlight w:val="none"/>
              </w:rPr>
            </w:pPr>
            <w:r>
              <w:rPr>
                <w:rFonts w:hint="default" w:ascii="Times New Roman" w:hAnsi="Times New Roman" w:eastAsia="仿宋_GB2312" w:cs="Times New Roman"/>
                <w:color w:val="auto"/>
                <w:sz w:val="28"/>
                <w:szCs w:val="28"/>
                <w:highlight w:val="none"/>
              </w:rPr>
              <w:t>抄</w:t>
            </w:r>
            <w:r>
              <w:rPr>
                <w:rFonts w:hint="default" w:ascii="Times New Roman" w:hAnsi="Times New Roman"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rPr>
              <w:t>送：天津市滨海新区生态环境局</w:t>
            </w:r>
          </w:p>
        </w:tc>
      </w:tr>
    </w:tbl>
    <w:p>
      <w:pPr>
        <w:ind w:firstLine="280" w:firstLineChars="100"/>
        <w:rPr>
          <w:rFonts w:hint="eastAsia" w:ascii="仿宋_GB2312" w:eastAsia="仿宋_GB2312"/>
          <w:color w:val="auto"/>
          <w:sz w:val="32"/>
          <w:szCs w:val="32"/>
          <w:lang w:val="en-US" w:eastAsia="zh-CN"/>
        </w:rPr>
      </w:pPr>
      <w:r>
        <w:rPr>
          <w:rFonts w:hint="default" w:ascii="Times New Roman" w:hAnsi="Times New Roman" w:eastAsia="仿宋_GB2312" w:cs="Times New Roman"/>
          <w:color w:val="auto"/>
          <w:sz w:val="28"/>
          <w:szCs w:val="28"/>
          <w:highlight w:val="none"/>
        </w:rPr>
        <w:t xml:space="preserve">天津市滨海新区行政审批局            </w:t>
      </w:r>
      <w:r>
        <w:rPr>
          <w:rFonts w:hint="default" w:ascii="Times New Roman" w:hAnsi="Times New Roman" w:eastAsia="仿宋_GB2312" w:cs="Times New Roman"/>
          <w:color w:val="auto"/>
          <w:sz w:val="28"/>
          <w:szCs w:val="28"/>
          <w:highlight w:val="none"/>
          <w:lang w:val="en-US" w:eastAsia="zh-CN"/>
        </w:rPr>
        <w:t xml:space="preserve"> </w:t>
      </w:r>
      <w:r>
        <w:rPr>
          <w:rFonts w:hint="eastAsia" w:eastAsia="仿宋_GB2312" w:cs="Times New Roman"/>
          <w:color w:val="auto"/>
          <w:sz w:val="28"/>
          <w:szCs w:val="28"/>
          <w:highlight w:val="none"/>
          <w:lang w:val="en-US" w:eastAsia="zh-CN"/>
        </w:rPr>
        <w:t xml:space="preserve">   </w:t>
      </w:r>
      <w:r>
        <w:rPr>
          <w:rFonts w:hint="default" w:ascii="Times New Roman" w:hAnsi="Times New Roman" w:eastAsia="仿宋_GB2312" w:cs="Times New Roman"/>
          <w:color w:val="auto"/>
          <w:sz w:val="28"/>
          <w:szCs w:val="28"/>
          <w:highlight w:val="none"/>
          <w:lang w:val="en-US" w:eastAsia="zh-CN"/>
        </w:rPr>
        <w:t>20</w:t>
      </w:r>
      <w:r>
        <w:rPr>
          <w:rFonts w:hint="eastAsia" w:eastAsia="仿宋_GB2312" w:cs="Times New Roman"/>
          <w:color w:val="auto"/>
          <w:sz w:val="28"/>
          <w:szCs w:val="28"/>
          <w:highlight w:val="none"/>
          <w:lang w:val="en-US" w:eastAsia="zh-CN"/>
        </w:rPr>
        <w:t>21</w:t>
      </w:r>
      <w:r>
        <w:rPr>
          <w:rFonts w:hint="default" w:ascii="Times New Roman" w:hAnsi="Times New Roman" w:eastAsia="仿宋_GB2312" w:cs="Times New Roman"/>
          <w:color w:val="auto"/>
          <w:sz w:val="28"/>
          <w:szCs w:val="28"/>
          <w:highlight w:val="none"/>
        </w:rPr>
        <w:t>年</w:t>
      </w:r>
      <w:r>
        <w:rPr>
          <w:rFonts w:hint="eastAsia" w:eastAsia="仿宋_GB2312" w:cs="Times New Roman"/>
          <w:color w:val="auto"/>
          <w:sz w:val="28"/>
          <w:szCs w:val="28"/>
          <w:highlight w:val="none"/>
          <w:lang w:val="en-US" w:eastAsia="zh-CN"/>
        </w:rPr>
        <w:t>3</w:t>
      </w:r>
      <w:r>
        <w:rPr>
          <w:rFonts w:hint="default" w:ascii="Times New Roman" w:hAnsi="Times New Roman" w:eastAsia="仿宋_GB2312" w:cs="Times New Roman"/>
          <w:color w:val="auto"/>
          <w:sz w:val="28"/>
          <w:szCs w:val="28"/>
          <w:highlight w:val="none"/>
        </w:rPr>
        <w:t>月</w:t>
      </w:r>
      <w:r>
        <w:rPr>
          <w:rFonts w:hint="eastAsia" w:eastAsia="仿宋_GB2312" w:cs="Times New Roman"/>
          <w:color w:val="auto"/>
          <w:sz w:val="28"/>
          <w:szCs w:val="28"/>
          <w:highlight w:val="none"/>
          <w:lang w:val="en-US" w:eastAsia="zh-CN"/>
        </w:rPr>
        <w:t>29</w:t>
      </w:r>
      <w:r>
        <w:rPr>
          <w:rFonts w:hint="default" w:ascii="Times New Roman" w:hAnsi="Times New Roman" w:eastAsia="仿宋_GB2312" w:cs="Times New Roman"/>
          <w:color w:val="auto"/>
          <w:sz w:val="28"/>
          <w:szCs w:val="28"/>
          <w:highlight w:val="none"/>
        </w:rPr>
        <w:t>日印发</w:t>
      </w:r>
    </w:p>
    <w:sectPr>
      <w:footerReference r:id="rId3" w:type="default"/>
      <w:footerReference r:id="rId4" w:type="even"/>
      <w:pgSz w:w="11906" w:h="16838"/>
      <w:pgMar w:top="1440" w:right="1474" w:bottom="1440"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sz w:val="30"/>
                              <w:szCs w:val="3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3"/>
                      <w:rPr>
                        <w:rFonts w:hint="eastAsia" w:eastAsia="宋体"/>
                        <w:sz w:val="30"/>
                        <w:szCs w:val="30"/>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- 1 -</w:t>
                    </w:r>
                    <w:r>
                      <w:rPr>
                        <w:rFonts w:hint="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7"/>
      </w:rPr>
    </w:pPr>
    <w:r>
      <w:rPr>
        <w:rStyle w:val="7"/>
      </w:rPr>
      <w:fldChar w:fldCharType="begin"/>
    </w:r>
    <w:r>
      <w:rPr>
        <w:rStyle w:val="7"/>
      </w:rPr>
      <w:instrText xml:space="preserve">PAGE  </w:instrText>
    </w:r>
    <w:r>
      <w:rPr>
        <w:rStyle w:val="7"/>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5E92"/>
    <w:rsid w:val="000052E2"/>
    <w:rsid w:val="000D0BAA"/>
    <w:rsid w:val="000F7AB4"/>
    <w:rsid w:val="001070EC"/>
    <w:rsid w:val="00145F43"/>
    <w:rsid w:val="00152774"/>
    <w:rsid w:val="00180D2F"/>
    <w:rsid w:val="001964EB"/>
    <w:rsid w:val="001A023C"/>
    <w:rsid w:val="00234BD5"/>
    <w:rsid w:val="00254B41"/>
    <w:rsid w:val="002E284B"/>
    <w:rsid w:val="002F77FC"/>
    <w:rsid w:val="00345096"/>
    <w:rsid w:val="00371377"/>
    <w:rsid w:val="00380F59"/>
    <w:rsid w:val="00396D44"/>
    <w:rsid w:val="003E7586"/>
    <w:rsid w:val="003F4130"/>
    <w:rsid w:val="004167F4"/>
    <w:rsid w:val="00421888"/>
    <w:rsid w:val="00454338"/>
    <w:rsid w:val="00487BC1"/>
    <w:rsid w:val="00531BD1"/>
    <w:rsid w:val="00566C93"/>
    <w:rsid w:val="00631BCE"/>
    <w:rsid w:val="006A0BFE"/>
    <w:rsid w:val="0071652F"/>
    <w:rsid w:val="00745E92"/>
    <w:rsid w:val="007939DD"/>
    <w:rsid w:val="008208B6"/>
    <w:rsid w:val="00863565"/>
    <w:rsid w:val="008B1BF1"/>
    <w:rsid w:val="008F05BC"/>
    <w:rsid w:val="00950011"/>
    <w:rsid w:val="009807C5"/>
    <w:rsid w:val="009824E1"/>
    <w:rsid w:val="0099150D"/>
    <w:rsid w:val="00996955"/>
    <w:rsid w:val="009A1665"/>
    <w:rsid w:val="009D54C7"/>
    <w:rsid w:val="009D7E7F"/>
    <w:rsid w:val="00A31EB3"/>
    <w:rsid w:val="00A6299F"/>
    <w:rsid w:val="00A85A8F"/>
    <w:rsid w:val="00AD6183"/>
    <w:rsid w:val="00AD7A1F"/>
    <w:rsid w:val="00B375DB"/>
    <w:rsid w:val="00B941D8"/>
    <w:rsid w:val="00BF6B0B"/>
    <w:rsid w:val="00C8289E"/>
    <w:rsid w:val="00CE5024"/>
    <w:rsid w:val="00D006C4"/>
    <w:rsid w:val="00D12F65"/>
    <w:rsid w:val="00D52B80"/>
    <w:rsid w:val="00DA5608"/>
    <w:rsid w:val="00DD7D5A"/>
    <w:rsid w:val="00DE0B7D"/>
    <w:rsid w:val="00E334F0"/>
    <w:rsid w:val="00E530D0"/>
    <w:rsid w:val="00E630C8"/>
    <w:rsid w:val="00E81FC7"/>
    <w:rsid w:val="00E913AD"/>
    <w:rsid w:val="00EA5C54"/>
    <w:rsid w:val="00EF0A9C"/>
    <w:rsid w:val="00EF29FD"/>
    <w:rsid w:val="00F10477"/>
    <w:rsid w:val="00F33160"/>
    <w:rsid w:val="00F436B2"/>
    <w:rsid w:val="00F54B05"/>
    <w:rsid w:val="00F56775"/>
    <w:rsid w:val="00F71A97"/>
    <w:rsid w:val="00F842B6"/>
    <w:rsid w:val="00FC26E4"/>
    <w:rsid w:val="01605565"/>
    <w:rsid w:val="017D0E60"/>
    <w:rsid w:val="022C4AC3"/>
    <w:rsid w:val="03171546"/>
    <w:rsid w:val="031C0752"/>
    <w:rsid w:val="03EA0063"/>
    <w:rsid w:val="03EF0BE7"/>
    <w:rsid w:val="05FA65C2"/>
    <w:rsid w:val="06041167"/>
    <w:rsid w:val="07307348"/>
    <w:rsid w:val="079075EF"/>
    <w:rsid w:val="07CF6683"/>
    <w:rsid w:val="08CC7EF8"/>
    <w:rsid w:val="094E022E"/>
    <w:rsid w:val="0A616717"/>
    <w:rsid w:val="0A7B58F8"/>
    <w:rsid w:val="0A993ECD"/>
    <w:rsid w:val="0AFD432E"/>
    <w:rsid w:val="0B0D5A13"/>
    <w:rsid w:val="0B6D14B7"/>
    <w:rsid w:val="0C8A0E0C"/>
    <w:rsid w:val="0D777966"/>
    <w:rsid w:val="0DA17C0A"/>
    <w:rsid w:val="0E491814"/>
    <w:rsid w:val="0E4B0420"/>
    <w:rsid w:val="0FA859B9"/>
    <w:rsid w:val="0FBF42EC"/>
    <w:rsid w:val="11D91F41"/>
    <w:rsid w:val="126758C9"/>
    <w:rsid w:val="138327ED"/>
    <w:rsid w:val="13CE5020"/>
    <w:rsid w:val="14367871"/>
    <w:rsid w:val="14970118"/>
    <w:rsid w:val="1518002A"/>
    <w:rsid w:val="151E657B"/>
    <w:rsid w:val="15A940F9"/>
    <w:rsid w:val="161105C7"/>
    <w:rsid w:val="16420B4B"/>
    <w:rsid w:val="164A154B"/>
    <w:rsid w:val="17977B39"/>
    <w:rsid w:val="179A0047"/>
    <w:rsid w:val="17B46048"/>
    <w:rsid w:val="181F6EAB"/>
    <w:rsid w:val="184D3DB0"/>
    <w:rsid w:val="19827E91"/>
    <w:rsid w:val="19B95B36"/>
    <w:rsid w:val="19C23FA1"/>
    <w:rsid w:val="1A1C6574"/>
    <w:rsid w:val="1A506E53"/>
    <w:rsid w:val="1BF3728E"/>
    <w:rsid w:val="1D992813"/>
    <w:rsid w:val="1E742A13"/>
    <w:rsid w:val="1E8563FC"/>
    <w:rsid w:val="1E860E96"/>
    <w:rsid w:val="1ED76542"/>
    <w:rsid w:val="1F3259C6"/>
    <w:rsid w:val="1FC313F6"/>
    <w:rsid w:val="1FDDFC20"/>
    <w:rsid w:val="21390C25"/>
    <w:rsid w:val="217E0DA2"/>
    <w:rsid w:val="21BE770D"/>
    <w:rsid w:val="21D74401"/>
    <w:rsid w:val="22092006"/>
    <w:rsid w:val="220D79D5"/>
    <w:rsid w:val="22853E7A"/>
    <w:rsid w:val="235F1C43"/>
    <w:rsid w:val="246E51C2"/>
    <w:rsid w:val="25930AA1"/>
    <w:rsid w:val="261C2711"/>
    <w:rsid w:val="26333F5B"/>
    <w:rsid w:val="264C63DC"/>
    <w:rsid w:val="2726241A"/>
    <w:rsid w:val="279E2447"/>
    <w:rsid w:val="27DF6D5B"/>
    <w:rsid w:val="28A50490"/>
    <w:rsid w:val="290416FB"/>
    <w:rsid w:val="2A2C5413"/>
    <w:rsid w:val="2A683397"/>
    <w:rsid w:val="2A8E570B"/>
    <w:rsid w:val="2B3B30DA"/>
    <w:rsid w:val="2B5A4C61"/>
    <w:rsid w:val="2DA85F50"/>
    <w:rsid w:val="2DE85F13"/>
    <w:rsid w:val="2EE81277"/>
    <w:rsid w:val="2FDA496E"/>
    <w:rsid w:val="302F580E"/>
    <w:rsid w:val="30CB4547"/>
    <w:rsid w:val="31821C7B"/>
    <w:rsid w:val="31C439B0"/>
    <w:rsid w:val="31D3618D"/>
    <w:rsid w:val="31E47D3B"/>
    <w:rsid w:val="330A7AD7"/>
    <w:rsid w:val="33937C59"/>
    <w:rsid w:val="33CC3E98"/>
    <w:rsid w:val="342E48E5"/>
    <w:rsid w:val="34D7709C"/>
    <w:rsid w:val="34DD613F"/>
    <w:rsid w:val="3536679E"/>
    <w:rsid w:val="3678062E"/>
    <w:rsid w:val="37432531"/>
    <w:rsid w:val="37FD68A6"/>
    <w:rsid w:val="393B4C3B"/>
    <w:rsid w:val="3982447C"/>
    <w:rsid w:val="39944AA9"/>
    <w:rsid w:val="3DC87BB7"/>
    <w:rsid w:val="3E053D44"/>
    <w:rsid w:val="3E6B05F3"/>
    <w:rsid w:val="3F6A5805"/>
    <w:rsid w:val="40AF5FD1"/>
    <w:rsid w:val="41134EAF"/>
    <w:rsid w:val="41BA15F9"/>
    <w:rsid w:val="420A2FF8"/>
    <w:rsid w:val="42195A6A"/>
    <w:rsid w:val="429124AF"/>
    <w:rsid w:val="42B85B67"/>
    <w:rsid w:val="43607A44"/>
    <w:rsid w:val="43AE49AE"/>
    <w:rsid w:val="446621C2"/>
    <w:rsid w:val="44AA2A23"/>
    <w:rsid w:val="44E37ECA"/>
    <w:rsid w:val="44F21C4B"/>
    <w:rsid w:val="459735F2"/>
    <w:rsid w:val="45AD6951"/>
    <w:rsid w:val="463C00DC"/>
    <w:rsid w:val="463F32E9"/>
    <w:rsid w:val="47221287"/>
    <w:rsid w:val="47845592"/>
    <w:rsid w:val="48B431C7"/>
    <w:rsid w:val="495A1221"/>
    <w:rsid w:val="49F8264E"/>
    <w:rsid w:val="4AE83298"/>
    <w:rsid w:val="4B106CD2"/>
    <w:rsid w:val="4BEB5FEB"/>
    <w:rsid w:val="4BFA4157"/>
    <w:rsid w:val="4C895B69"/>
    <w:rsid w:val="4D7A256B"/>
    <w:rsid w:val="4E284633"/>
    <w:rsid w:val="4E8A1123"/>
    <w:rsid w:val="4EB07CD3"/>
    <w:rsid w:val="4F016F2E"/>
    <w:rsid w:val="4F9E2FE4"/>
    <w:rsid w:val="502925FF"/>
    <w:rsid w:val="50C54397"/>
    <w:rsid w:val="50D413E4"/>
    <w:rsid w:val="517F3AB5"/>
    <w:rsid w:val="51872AF4"/>
    <w:rsid w:val="51A96376"/>
    <w:rsid w:val="51BD51B5"/>
    <w:rsid w:val="5261193E"/>
    <w:rsid w:val="53333171"/>
    <w:rsid w:val="53546890"/>
    <w:rsid w:val="537F0991"/>
    <w:rsid w:val="53D050AD"/>
    <w:rsid w:val="562D4626"/>
    <w:rsid w:val="565D50E4"/>
    <w:rsid w:val="56F00E14"/>
    <w:rsid w:val="570A2411"/>
    <w:rsid w:val="5750757E"/>
    <w:rsid w:val="579F09F4"/>
    <w:rsid w:val="581A10A7"/>
    <w:rsid w:val="59465D4C"/>
    <w:rsid w:val="59A10B54"/>
    <w:rsid w:val="5A2A7114"/>
    <w:rsid w:val="5C975214"/>
    <w:rsid w:val="5CE11D93"/>
    <w:rsid w:val="5D0E0D1E"/>
    <w:rsid w:val="5D1A2FE5"/>
    <w:rsid w:val="5DB84FA9"/>
    <w:rsid w:val="5DDC239E"/>
    <w:rsid w:val="5E0471CF"/>
    <w:rsid w:val="5E0A1E6D"/>
    <w:rsid w:val="5F071E55"/>
    <w:rsid w:val="5F9A6485"/>
    <w:rsid w:val="60381087"/>
    <w:rsid w:val="61BC32B4"/>
    <w:rsid w:val="61F11BB7"/>
    <w:rsid w:val="627D0FB0"/>
    <w:rsid w:val="628A6975"/>
    <w:rsid w:val="62F9157D"/>
    <w:rsid w:val="633A301A"/>
    <w:rsid w:val="633E53F7"/>
    <w:rsid w:val="63A519FA"/>
    <w:rsid w:val="63AF1EEE"/>
    <w:rsid w:val="63BE1B4F"/>
    <w:rsid w:val="63C42AC6"/>
    <w:rsid w:val="662832AD"/>
    <w:rsid w:val="67806E84"/>
    <w:rsid w:val="67B451E3"/>
    <w:rsid w:val="686A0B4A"/>
    <w:rsid w:val="68CD0632"/>
    <w:rsid w:val="69B942B6"/>
    <w:rsid w:val="6A986B98"/>
    <w:rsid w:val="6BB66257"/>
    <w:rsid w:val="6CBE07C5"/>
    <w:rsid w:val="6CE124F8"/>
    <w:rsid w:val="6E4B1B52"/>
    <w:rsid w:val="6F2605FE"/>
    <w:rsid w:val="6F4020DE"/>
    <w:rsid w:val="6FF3011B"/>
    <w:rsid w:val="706E47D2"/>
    <w:rsid w:val="709F468C"/>
    <w:rsid w:val="71B60E95"/>
    <w:rsid w:val="71CA6AEA"/>
    <w:rsid w:val="71F065BA"/>
    <w:rsid w:val="729829D6"/>
    <w:rsid w:val="73067FA2"/>
    <w:rsid w:val="73935D89"/>
    <w:rsid w:val="73C20023"/>
    <w:rsid w:val="7458541A"/>
    <w:rsid w:val="7479752E"/>
    <w:rsid w:val="74F639BA"/>
    <w:rsid w:val="755B3206"/>
    <w:rsid w:val="758A0BF2"/>
    <w:rsid w:val="758D7DD4"/>
    <w:rsid w:val="75F63195"/>
    <w:rsid w:val="76A77C9C"/>
    <w:rsid w:val="76D4578A"/>
    <w:rsid w:val="78241FCC"/>
    <w:rsid w:val="787E122A"/>
    <w:rsid w:val="78B56081"/>
    <w:rsid w:val="79960AEB"/>
    <w:rsid w:val="7A134250"/>
    <w:rsid w:val="7A367E89"/>
    <w:rsid w:val="7A4D29BF"/>
    <w:rsid w:val="7AD91A30"/>
    <w:rsid w:val="7B413F13"/>
    <w:rsid w:val="7B6B0D07"/>
    <w:rsid w:val="7C090A90"/>
    <w:rsid w:val="7C4F638F"/>
    <w:rsid w:val="7D123060"/>
    <w:rsid w:val="7D337ACC"/>
    <w:rsid w:val="7D8642F9"/>
    <w:rsid w:val="7E6C59D9"/>
    <w:rsid w:val="7F0C7452"/>
    <w:rsid w:val="7F5378E9"/>
    <w:rsid w:val="7FD231E4"/>
    <w:rsid w:val="CF8F99F6"/>
    <w:rsid w:val="DEFF2BF2"/>
    <w:rsid w:val="F7FAAD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outlineLvl w:val="0"/>
    </w:pPr>
    <w:rPr>
      <w:rFonts w:eastAsia="黑体"/>
      <w:kern w:val="44"/>
      <w:sz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脚 Char"/>
    <w:basedOn w:val="6"/>
    <w:link w:val="3"/>
    <w:qFormat/>
    <w:uiPriority w:val="0"/>
    <w:rPr>
      <w:kern w:val="2"/>
      <w:sz w:val="18"/>
      <w:szCs w:val="18"/>
    </w:rPr>
  </w:style>
  <w:style w:type="character" w:customStyle="1" w:styleId="9">
    <w:name w:val="页眉 Char"/>
    <w:basedOn w:val="6"/>
    <w:link w:val="4"/>
    <w:qFormat/>
    <w:uiPriority w:val="0"/>
    <w:rPr>
      <w:kern w:val="2"/>
      <w:sz w:val="18"/>
      <w:szCs w:val="18"/>
    </w:rPr>
  </w:style>
  <w:style w:type="paragraph" w:customStyle="1" w:styleId="10">
    <w:name w:val="中文报告书样式"/>
    <w:basedOn w:val="1"/>
    <w:qFormat/>
    <w:uiPriority w:val="0"/>
    <w:pPr>
      <w:adjustRightInd w:val="0"/>
      <w:spacing w:line="420" w:lineRule="atLeast"/>
      <w:jc w:val="left"/>
      <w:textAlignment w:val="baseline"/>
    </w:pPr>
    <w:rPr>
      <w:kern w:val="24"/>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Words>
  <Characters>39</Characters>
  <Lines>1</Lines>
  <Paragraphs>1</Paragraphs>
  <TotalTime>1</TotalTime>
  <ScaleCrop>false</ScaleCrop>
  <LinksUpToDate>false</LinksUpToDate>
  <CharactersWithSpaces>44</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2014-05-23T01:22:00Z</dcterms:created>
  <dc:creator>张明蕾</dc:creator>
  <cp:lastModifiedBy>审批二室</cp:lastModifiedBy>
  <cp:lastPrinted>2020-06-20T03:27:00Z</cp:lastPrinted>
  <dcterms:modified xsi:type="dcterms:W3CDTF">2021-08-18T10:25:34Z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ies>
</file>