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</w:rPr>
        <w:t>津滨审批二室准〔20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183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bookmarkEnd w:id="0"/>
    <w:p>
      <w:pPr>
        <w:rPr>
          <w:rFonts w:ascii="仿宋_GB2312" w:eastAsia="仿宋_GB2312"/>
          <w:sz w:val="32"/>
          <w:szCs w:val="32"/>
        </w:rPr>
      </w:pPr>
    </w:p>
    <w:p>
      <w:pPr>
        <w:pStyle w:val="12"/>
        <w:spacing w:line="580" w:lineRule="exact"/>
        <w:jc w:val="center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60" w:lineRule="exact"/>
        <w:jc w:val="center"/>
        <w:textAlignment w:val="baseline"/>
        <w:outlineLvl w:val="9"/>
        <w:rPr>
          <w:rFonts w:ascii="方正小标宋简体" w:hAnsi="宋体" w:eastAsia="方正小标宋简体"/>
          <w:color w:val="000000"/>
          <w:sz w:val="44"/>
        </w:rPr>
      </w:pPr>
      <w:r>
        <w:rPr>
          <w:rFonts w:hint="eastAsia" w:ascii="方正小标宋简体" w:hAnsi="宋体" w:eastAsia="方正小标宋简体"/>
          <w:color w:val="000000"/>
          <w:sz w:val="44"/>
        </w:rPr>
        <w:t>关于</w:t>
      </w:r>
      <w:r>
        <w:rPr>
          <w:rFonts w:hint="eastAsia" w:ascii="方正小标宋简体" w:hAnsi="宋体" w:eastAsia="方正小标宋简体"/>
          <w:color w:val="000000"/>
          <w:sz w:val="44"/>
          <w:lang w:eastAsia="zh-CN"/>
        </w:rPr>
        <w:t>南港渤化发展二期氯碱配套工业气体供应项目</w:t>
      </w:r>
      <w:r>
        <w:rPr>
          <w:rFonts w:hint="eastAsia" w:ascii="方正小标宋简体" w:hAnsi="宋体" w:eastAsia="方正小标宋简体"/>
          <w:color w:val="000000"/>
          <w:sz w:val="44"/>
        </w:rPr>
        <w:t>环境影响</w:t>
      </w:r>
      <w:r>
        <w:rPr>
          <w:rFonts w:hint="eastAsia" w:ascii="方正小标宋简体" w:hAnsi="宋体" w:eastAsia="方正小标宋简体"/>
          <w:color w:val="000000"/>
          <w:sz w:val="44"/>
          <w:lang w:eastAsia="zh-CN"/>
        </w:rPr>
        <w:t>报告书</w:t>
      </w:r>
      <w:r>
        <w:rPr>
          <w:rFonts w:ascii="方正小标宋简体" w:hAnsi="宋体" w:eastAsia="方正小标宋简体"/>
          <w:color w:val="000000"/>
          <w:sz w:val="44"/>
        </w:rPr>
        <w:t>的批复</w:t>
      </w:r>
    </w:p>
    <w:p>
      <w:pPr>
        <w:spacing w:line="0" w:lineRule="atLeast"/>
        <w:jc w:val="center"/>
        <w:rPr>
          <w:rFonts w:ascii="宋体" w:hAnsi="宋体"/>
          <w:b/>
          <w:color w:val="000000"/>
          <w:sz w:val="21"/>
          <w:szCs w:val="21"/>
        </w:rPr>
      </w:pPr>
    </w:p>
    <w:p>
      <w:pPr>
        <w:pageBreakBefore w:val="0"/>
        <w:widowControl w:val="0"/>
        <w:tabs>
          <w:tab w:val="left" w:pos="475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液化空气（天津）工业气体有限公司：</w:t>
      </w:r>
    </w:p>
    <w:p>
      <w:pPr>
        <w:pageBreakBefore w:val="0"/>
        <w:widowControl w:val="0"/>
        <w:tabs>
          <w:tab w:val="left" w:pos="475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你</w:t>
      </w:r>
      <w:r>
        <w:rPr>
          <w:rFonts w:hint="eastAsia" w:eastAsia="仿宋_GB2312"/>
          <w:sz w:val="32"/>
          <w:szCs w:val="32"/>
          <w:lang w:val="en-US" w:eastAsia="zh-CN"/>
        </w:rPr>
        <w:t>公司</w:t>
      </w:r>
      <w:r>
        <w:rPr>
          <w:rFonts w:hint="eastAsia" w:eastAsia="仿宋_GB2312"/>
          <w:sz w:val="32"/>
          <w:szCs w:val="32"/>
          <w:lang w:eastAsia="zh-CN"/>
        </w:rPr>
        <w:t>呈报的《南港渤化发展二期氯碱配套工业气体供应项目环境影响报告书</w:t>
      </w:r>
      <w:r>
        <w:rPr>
          <w:rFonts w:hint="eastAsia" w:eastAsia="仿宋_GB2312"/>
          <w:sz w:val="32"/>
          <w:szCs w:val="32"/>
          <w:lang w:val="en-US" w:eastAsia="zh-CN"/>
        </w:rPr>
        <w:t>的请示</w:t>
      </w:r>
      <w:r>
        <w:rPr>
          <w:rFonts w:hint="eastAsia" w:eastAsia="仿宋_GB2312"/>
          <w:sz w:val="32"/>
          <w:szCs w:val="32"/>
          <w:lang w:eastAsia="zh-CN"/>
        </w:rPr>
        <w:t>》、</w:t>
      </w:r>
      <w:r>
        <w:rPr>
          <w:rFonts w:hint="eastAsia" w:eastAsia="仿宋_GB2312"/>
          <w:sz w:val="32"/>
          <w:szCs w:val="32"/>
          <w:lang w:val="en-US" w:eastAsia="zh-CN"/>
        </w:rPr>
        <w:t>天津环科环境咨询有限公司</w:t>
      </w:r>
      <w:r>
        <w:rPr>
          <w:rFonts w:hint="default" w:eastAsia="仿宋_GB2312"/>
          <w:sz w:val="32"/>
          <w:szCs w:val="32"/>
          <w:lang w:val="en-US" w:eastAsia="zh-CN"/>
        </w:rPr>
        <w:t>《关于</w:t>
      </w:r>
      <w:r>
        <w:rPr>
          <w:rFonts w:hint="eastAsia" w:eastAsia="仿宋_GB2312"/>
          <w:sz w:val="32"/>
          <w:szCs w:val="32"/>
          <w:lang w:eastAsia="zh-CN"/>
        </w:rPr>
        <w:t>南港渤化发展二期氯碱配套工业气体供应项目</w:t>
      </w:r>
      <w:r>
        <w:rPr>
          <w:rFonts w:hint="default" w:eastAsia="仿宋_GB2312"/>
          <w:sz w:val="32"/>
          <w:szCs w:val="32"/>
          <w:lang w:val="en-US" w:eastAsia="zh-CN"/>
        </w:rPr>
        <w:t>环境影响</w:t>
      </w:r>
      <w:r>
        <w:rPr>
          <w:rFonts w:hint="eastAsia" w:eastAsia="仿宋_GB2312"/>
          <w:sz w:val="32"/>
          <w:szCs w:val="32"/>
          <w:lang w:val="en-US" w:eastAsia="zh-CN"/>
        </w:rPr>
        <w:t>报告书</w:t>
      </w:r>
      <w:r>
        <w:rPr>
          <w:rFonts w:hint="default" w:eastAsia="仿宋_GB2312"/>
          <w:sz w:val="32"/>
          <w:szCs w:val="32"/>
          <w:lang w:val="en-US" w:eastAsia="zh-CN"/>
        </w:rPr>
        <w:t>的技术评估报告》（</w:t>
      </w:r>
      <w:r>
        <w:rPr>
          <w:rFonts w:hint="eastAsia" w:eastAsia="仿宋_GB2312"/>
          <w:sz w:val="32"/>
          <w:szCs w:val="32"/>
          <w:lang w:val="en-US" w:eastAsia="zh-CN"/>
        </w:rPr>
        <w:t>新区评估书</w:t>
      </w:r>
      <w:r>
        <w:rPr>
          <w:rFonts w:hint="default" w:eastAsia="仿宋_GB2312"/>
          <w:sz w:val="32"/>
          <w:szCs w:val="32"/>
          <w:lang w:val="en-US" w:eastAsia="zh-CN"/>
        </w:rPr>
        <w:t>〔20</w:t>
      </w:r>
      <w:r>
        <w:rPr>
          <w:rFonts w:hint="eastAsia" w:eastAsia="仿宋_GB2312"/>
          <w:sz w:val="32"/>
          <w:szCs w:val="32"/>
          <w:lang w:val="en-US" w:eastAsia="zh-CN"/>
        </w:rPr>
        <w:t>24</w:t>
      </w:r>
      <w:r>
        <w:rPr>
          <w:rFonts w:hint="default" w:eastAsia="仿宋_GB2312"/>
          <w:sz w:val="32"/>
          <w:szCs w:val="32"/>
          <w:lang w:val="en-US" w:eastAsia="zh-CN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001号</w:t>
      </w:r>
      <w:r>
        <w:rPr>
          <w:rFonts w:hint="default" w:eastAsia="仿宋_GB2312"/>
          <w:sz w:val="32"/>
          <w:szCs w:val="32"/>
          <w:lang w:val="en-US" w:eastAsia="zh-CN"/>
        </w:rPr>
        <w:t>）和天津市博创环保科技有限公司</w:t>
      </w:r>
      <w:r>
        <w:rPr>
          <w:rFonts w:hint="eastAsia" w:eastAsia="仿宋_GB2312"/>
          <w:sz w:val="32"/>
          <w:szCs w:val="32"/>
          <w:lang w:val="en-US" w:eastAsia="zh-CN"/>
        </w:rPr>
        <w:t>编制的</w:t>
      </w:r>
      <w:r>
        <w:rPr>
          <w:rFonts w:hint="default" w:eastAsia="仿宋_GB2312"/>
          <w:sz w:val="32"/>
          <w:szCs w:val="32"/>
          <w:lang w:val="en-US" w:eastAsia="zh-CN"/>
        </w:rPr>
        <w:t>《</w:t>
      </w:r>
      <w:r>
        <w:rPr>
          <w:rFonts w:hint="eastAsia" w:eastAsia="仿宋_GB2312"/>
          <w:sz w:val="32"/>
          <w:szCs w:val="32"/>
          <w:lang w:eastAsia="zh-CN"/>
        </w:rPr>
        <w:t>南港渤化发展二期氯碱配套工业气体供应项目环境影响报告书</w:t>
      </w:r>
      <w:r>
        <w:rPr>
          <w:rFonts w:eastAsia="仿宋_GB2312"/>
          <w:sz w:val="32"/>
          <w:szCs w:val="32"/>
        </w:rPr>
        <w:t>》</w:t>
      </w:r>
      <w:r>
        <w:rPr>
          <w:rFonts w:hint="eastAsia" w:eastAsia="仿宋_GB2312"/>
          <w:sz w:val="32"/>
          <w:szCs w:val="32"/>
          <w:lang w:eastAsia="zh-CN"/>
        </w:rPr>
        <w:t>等</w:t>
      </w:r>
      <w:r>
        <w:rPr>
          <w:rFonts w:hint="eastAsia" w:eastAsia="仿宋_GB2312"/>
          <w:sz w:val="32"/>
          <w:szCs w:val="32"/>
          <w:lang w:val="en-US" w:eastAsia="zh-CN"/>
        </w:rPr>
        <w:t>材料</w:t>
      </w:r>
      <w:r>
        <w:rPr>
          <w:rFonts w:eastAsia="仿宋_GB2312"/>
          <w:sz w:val="32"/>
          <w:szCs w:val="32"/>
        </w:rPr>
        <w:t>收悉。</w:t>
      </w:r>
      <w:r>
        <w:rPr>
          <w:rFonts w:hint="eastAsia" w:eastAsia="仿宋_GB2312"/>
          <w:sz w:val="32"/>
          <w:szCs w:val="32"/>
          <w:lang w:val="en-US" w:eastAsia="zh-CN"/>
        </w:rPr>
        <w:t>我局</w:t>
      </w:r>
      <w:r>
        <w:rPr>
          <w:rFonts w:eastAsia="仿宋_GB2312"/>
          <w:sz w:val="32"/>
          <w:szCs w:val="32"/>
        </w:rPr>
        <w:t>经研究，批复如下：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475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为满足南港工业区内企业高纯气体的输送需求，</w:t>
      </w:r>
      <w:r>
        <w:rPr>
          <w:rFonts w:hint="eastAsia" w:eastAsia="仿宋_GB2312"/>
          <w:sz w:val="32"/>
          <w:szCs w:val="32"/>
          <w:lang w:val="en-US" w:eastAsia="zh-CN"/>
        </w:rPr>
        <w:t>你</w:t>
      </w:r>
      <w:r>
        <w:rPr>
          <w:rFonts w:eastAsia="仿宋_GB2312"/>
          <w:sz w:val="32"/>
          <w:szCs w:val="32"/>
        </w:rPr>
        <w:t>公司拟依托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天津石化烯烃部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厂内管廊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南港工业区石化管廊和南港工业区管廊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建设南港渤化发展二期氯碱配套工业气体供应项目。主要建设内容包括：</w:t>
      </w:r>
      <w:r>
        <w:rPr>
          <w:rFonts w:hint="eastAsia" w:eastAsia="仿宋_GB2312"/>
          <w:sz w:val="32"/>
          <w:szCs w:val="32"/>
          <w:lang w:val="en-US" w:eastAsia="zh-CN"/>
        </w:rPr>
        <w:t>①</w:t>
      </w:r>
      <w:r>
        <w:rPr>
          <w:rFonts w:hint="default" w:eastAsia="仿宋_GB2312"/>
          <w:sz w:val="32"/>
          <w:szCs w:val="32"/>
          <w:lang w:val="en-US" w:eastAsia="zh-CN"/>
        </w:rPr>
        <w:t>天津石化烯烃部东北侧界区-天津石化烯烃部东南侧界区-南港乙烯西界区-南港液空公司管道工程</w:t>
      </w:r>
      <w:r>
        <w:rPr>
          <w:rFonts w:hint="eastAsia" w:eastAsia="仿宋_GB2312"/>
          <w:sz w:val="32"/>
          <w:szCs w:val="32"/>
          <w:lang w:val="en-US" w:eastAsia="zh-CN"/>
        </w:rPr>
        <w:t>：新建一条长度为</w:t>
      </w:r>
      <w:r>
        <w:rPr>
          <w:rFonts w:hint="default" w:eastAsia="仿宋_GB2312"/>
          <w:sz w:val="32"/>
          <w:szCs w:val="32"/>
          <w:lang w:val="en-US" w:eastAsia="zh-CN"/>
        </w:rPr>
        <w:t>32.84</w:t>
      </w:r>
      <w:r>
        <w:rPr>
          <w:rFonts w:hint="eastAsia" w:eastAsia="仿宋_GB2312"/>
          <w:sz w:val="32"/>
          <w:szCs w:val="32"/>
          <w:lang w:val="en-US" w:eastAsia="zh-CN"/>
        </w:rPr>
        <w:t>公里（其中架空敷设</w:t>
      </w:r>
      <w:r>
        <w:rPr>
          <w:rFonts w:hint="default" w:eastAsia="仿宋_GB2312"/>
          <w:sz w:val="32"/>
          <w:szCs w:val="32"/>
          <w:lang w:val="en-US" w:eastAsia="zh-CN"/>
        </w:rPr>
        <w:t>32.34</w:t>
      </w:r>
      <w:r>
        <w:rPr>
          <w:rFonts w:hint="eastAsia" w:eastAsia="仿宋_GB2312"/>
          <w:sz w:val="32"/>
          <w:szCs w:val="32"/>
          <w:lang w:val="en-US" w:eastAsia="zh-CN"/>
        </w:rPr>
        <w:t>公里，经地下管涵/箱涵敷设约0.5公里）的</w:t>
      </w:r>
      <w:r>
        <w:rPr>
          <w:rFonts w:hint="default" w:eastAsia="仿宋_GB2312"/>
          <w:sz w:val="32"/>
          <w:szCs w:val="32"/>
          <w:lang w:val="en-US" w:eastAsia="zh-CN"/>
        </w:rPr>
        <w:t>中压氧气输送管道，管径为DN400，设计压力为6.4MPa</w:t>
      </w:r>
      <w:r>
        <w:rPr>
          <w:rFonts w:hint="eastAsia" w:eastAsia="仿宋_GB2312"/>
          <w:sz w:val="32"/>
          <w:szCs w:val="32"/>
          <w:lang w:val="en-US" w:eastAsia="zh-CN"/>
        </w:rPr>
        <w:t>，设计年输送量</w:t>
      </w:r>
      <w:r>
        <w:rPr>
          <w:rFonts w:hint="default" w:eastAsia="仿宋_GB2312"/>
          <w:sz w:val="32"/>
          <w:szCs w:val="32"/>
          <w:lang w:val="en-US" w:eastAsia="zh-CN"/>
        </w:rPr>
        <w:t>33600</w:t>
      </w:r>
      <w:r>
        <w:rPr>
          <w:rFonts w:hint="eastAsia" w:eastAsia="仿宋_GB2312"/>
          <w:sz w:val="32"/>
          <w:szCs w:val="32"/>
          <w:lang w:val="en-US" w:eastAsia="zh-CN"/>
        </w:rPr>
        <w:t>万方。②</w:t>
      </w:r>
      <w:r>
        <w:rPr>
          <w:rFonts w:hint="default" w:eastAsia="仿宋_GB2312"/>
          <w:sz w:val="32"/>
          <w:szCs w:val="32"/>
          <w:lang w:val="en-US" w:eastAsia="zh-CN"/>
        </w:rPr>
        <w:t>南港乙烯西界区调压站-南港工业区公共管廊-南港液空公司</w:t>
      </w:r>
      <w:r>
        <w:rPr>
          <w:rFonts w:hint="default" w:eastAsia="仿宋_GB2312"/>
          <w:sz w:val="32"/>
          <w:szCs w:val="32"/>
          <w:lang w:eastAsia="zh-CN"/>
        </w:rPr>
        <w:t>管道工程：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新建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条长度为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12.14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公里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</w:t>
      </w:r>
      <w:r>
        <w:rPr>
          <w:rFonts w:hint="eastAsia" w:eastAsia="仿宋_GB2312" w:cs="Times New Roman"/>
          <w:sz w:val="32"/>
          <w:szCs w:val="32"/>
          <w:lang w:eastAsia="zh-CN"/>
        </w:rPr>
        <w:t>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压氮气输送管道，管径为DN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，设计压力为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3.18</w:t>
      </w:r>
      <w:r>
        <w:rPr>
          <w:rFonts w:ascii="Times New Roman" w:hAnsi="Times New Roman" w:eastAsia="仿宋_GB2312" w:cs="Times New Roman"/>
          <w:sz w:val="32"/>
          <w:szCs w:val="32"/>
        </w:rPr>
        <w:t>MPa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，设计年输送量</w:t>
      </w:r>
      <w:r>
        <w:rPr>
          <w:rFonts w:ascii="Times New Roman" w:hAnsi="Times New Roman" w:eastAsia="仿宋_GB2312" w:cs="Times New Roman"/>
          <w:sz w:val="32"/>
          <w:szCs w:val="32"/>
        </w:rPr>
        <w:t>5040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万方。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475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该项目跨越独流减河河滨岸带生态保护红线</w:t>
      </w:r>
      <w:r>
        <w:rPr>
          <w:rFonts w:hint="eastAsia" w:eastAsia="仿宋_GB2312" w:cs="Times New Roman"/>
          <w:sz w:val="32"/>
          <w:szCs w:val="32"/>
          <w:lang w:eastAsia="zh-CN"/>
        </w:rPr>
        <w:t>。此部分管段</w:t>
      </w:r>
      <w:r>
        <w:rPr>
          <w:rFonts w:ascii="Times New Roman" w:hAnsi="Times New Roman" w:eastAsia="仿宋_GB2312" w:cs="Times New Roman"/>
          <w:sz w:val="32"/>
          <w:szCs w:val="32"/>
        </w:rPr>
        <w:t>依托南港工业区石化管廊工程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，该工程</w:t>
      </w:r>
      <w:r>
        <w:rPr>
          <w:rFonts w:ascii="Times New Roman" w:hAnsi="Times New Roman" w:eastAsia="仿宋_GB2312" w:cs="Times New Roman"/>
          <w:sz w:val="32"/>
          <w:szCs w:val="32"/>
        </w:rPr>
        <w:t>已取得市规划资源局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同意建设的</w:t>
      </w:r>
      <w:r>
        <w:rPr>
          <w:rFonts w:ascii="Times New Roman" w:hAnsi="Times New Roman" w:eastAsia="仿宋_GB2312" w:cs="Times New Roman"/>
          <w:sz w:val="32"/>
          <w:szCs w:val="32"/>
        </w:rPr>
        <w:t>意见。</w:t>
      </w:r>
    </w:p>
    <w:p>
      <w:pPr>
        <w:pageBreakBefore w:val="0"/>
        <w:widowControl w:val="0"/>
        <w:tabs>
          <w:tab w:val="left" w:pos="475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FF"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项目总投资</w:t>
      </w:r>
      <w:r>
        <w:rPr>
          <w:rFonts w:hint="eastAsia" w:eastAsia="仿宋_GB2312"/>
          <w:bCs/>
          <w:sz w:val="32"/>
          <w:szCs w:val="32"/>
          <w:lang w:val="en-US" w:eastAsia="zh-CN"/>
        </w:rPr>
        <w:t>133</w:t>
      </w:r>
      <w:r>
        <w:rPr>
          <w:rFonts w:eastAsia="仿宋_GB2312"/>
          <w:bCs/>
          <w:sz w:val="32"/>
          <w:szCs w:val="32"/>
        </w:rPr>
        <w:t>00</w:t>
      </w:r>
      <w:r>
        <w:rPr>
          <w:rFonts w:hint="eastAsia" w:eastAsia="仿宋_GB2312"/>
          <w:bCs/>
          <w:sz w:val="32"/>
          <w:szCs w:val="32"/>
        </w:rPr>
        <w:t>万元，环保投资</w:t>
      </w:r>
      <w:r>
        <w:rPr>
          <w:rFonts w:eastAsia="仿宋_GB2312"/>
          <w:bCs/>
          <w:sz w:val="32"/>
          <w:szCs w:val="32"/>
        </w:rPr>
        <w:t>135</w:t>
      </w:r>
      <w:r>
        <w:rPr>
          <w:rFonts w:hint="eastAsia" w:eastAsia="仿宋_GB2312"/>
          <w:bCs/>
          <w:sz w:val="32"/>
          <w:szCs w:val="32"/>
        </w:rPr>
        <w:t>万元，约占投资总额的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1.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02</w:t>
      </w:r>
      <w:r>
        <w:rPr>
          <w:rFonts w:hint="eastAsia" w:eastAsia="仿宋_GB2312"/>
          <w:bCs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日至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我局将该项目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环评报告的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受理情况进行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公示；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日，将该项目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环评报告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拟批复情况进行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公示；根据公众反馈意见情况及环评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报告结论，在严格落实环评报告所提出的各项污染防治措施、确保各类污染物稳定达标的前提下，</w:t>
      </w:r>
      <w:r>
        <w:rPr>
          <w:rFonts w:eastAsia="仿宋_GB2312"/>
          <w:sz w:val="32"/>
          <w:szCs w:val="32"/>
        </w:rPr>
        <w:t>该</w:t>
      </w:r>
      <w:r>
        <w:rPr>
          <w:rFonts w:hint="eastAsia" w:eastAsia="仿宋_GB2312"/>
          <w:sz w:val="32"/>
          <w:szCs w:val="32"/>
          <w:lang w:eastAsia="zh-CN"/>
        </w:rPr>
        <w:t>项目</w:t>
      </w:r>
      <w:r>
        <w:rPr>
          <w:rFonts w:hint="eastAsia" w:eastAsia="仿宋_GB2312"/>
          <w:sz w:val="32"/>
          <w:szCs w:val="32"/>
        </w:rPr>
        <w:t>具备环境可行性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eastAsia="仿宋_GB2312"/>
          <w:sz w:val="32"/>
          <w:szCs w:val="32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你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应重点做好以下工作：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0" w:firstLineChars="200"/>
        <w:textAlignment w:val="baseline"/>
        <w:rPr>
          <w:rFonts w:hint="eastAsia" w:eastAsia="仿宋_GB2312"/>
          <w:color w:val="0000FF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施工期间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做到合法施工，文明生产，减少扬尘污染；管道试压废水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经收集后送至南港工业区污水处理厂处理，禁止排入周边地表水体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合理安排施工时间，加强对高噪声机械的管理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施工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产生的废漆桶和废漆料交有资质的单位处理，焊渣、施工废料和清管杂物等一般废物经收集后由环卫部门清运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；探伤作业须委托具有相关生产许可资质的单位进行，探伤设施须满足国家规范的相关防护措施。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0" w:firstLineChars="200"/>
        <w:textAlignment w:val="baseline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生态保护红线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内施工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，应采取严格的生态保护与修复措施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合理安排施工工期，避开候鸟迁徙季施工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，减少对野生动植物造成干扰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；施工结束后按照修复方案及时开展生态修复工作，减缓对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上述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区域的影响。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强化各项环境风险防范措施，完善突发环境风险应急预案，向区生态环境局备案。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预案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所在地区和相邻管道产权单位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的事故应急预案相衔接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，并要与相邻管道和管廊的产权单位建立长效联动机制，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定期开展突发环境事件应急演练，提高应对突发环境风险事故的处理能力，有效防范环境风险。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0" w:firstLineChars="200"/>
        <w:textAlignment w:val="baseline"/>
        <w:rPr>
          <w:rFonts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不涉及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新增污染物排放总量。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项目建设应严格执行环境保护设施与主体工程同时设计、同时施工、同时投产使用的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三同时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管理制度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竣工后按规定的标准和程序开展环境保护验收，经验收合格后方可正式投入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使用；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若项目的性质、规模、地点、生产工艺或防治污染的措施发生重大变动，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重新报批环境影响评价文件。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0" w:firstLineChars="200"/>
        <w:textAlignment w:val="baseline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五</w:t>
      </w:r>
      <w:r>
        <w:rPr>
          <w:rFonts w:hint="eastAsia" w:eastAsia="仿宋_GB2312"/>
          <w:color w:val="auto"/>
          <w:sz w:val="32"/>
          <w:szCs w:val="32"/>
        </w:rPr>
        <w:t>、项目应执行以下标准：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0" w:firstLineChars="200"/>
        <w:textAlignment w:val="baseline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</w:rPr>
        <w:t>1</w:t>
      </w:r>
      <w:r>
        <w:rPr>
          <w:rFonts w:hint="eastAsia" w:eastAsia="仿宋_GB2312"/>
          <w:color w:val="auto"/>
          <w:sz w:val="32"/>
          <w:szCs w:val="32"/>
          <w:lang w:eastAsia="zh-CN"/>
        </w:rPr>
        <w:t>.</w:t>
      </w:r>
      <w:r>
        <w:rPr>
          <w:rFonts w:hint="eastAsia" w:eastAsia="仿宋_GB2312"/>
          <w:color w:val="auto"/>
          <w:sz w:val="32"/>
          <w:szCs w:val="32"/>
        </w:rPr>
        <w:t>《环境空气质量标准》（GB3095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-</w:t>
      </w:r>
      <w:r>
        <w:rPr>
          <w:rFonts w:hint="eastAsia" w:eastAsia="仿宋_GB2312"/>
          <w:color w:val="auto"/>
          <w:sz w:val="32"/>
          <w:szCs w:val="32"/>
        </w:rPr>
        <w:t>2012）二级；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0" w:firstLineChars="200"/>
        <w:textAlignment w:val="baseline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eastAsia="仿宋_GB2312"/>
          <w:color w:val="auto"/>
          <w:sz w:val="32"/>
          <w:szCs w:val="32"/>
        </w:rPr>
        <w:t>《声环境质量标准》（GB3096-2008）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2类、3类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30"/>
        <w:textAlignment w:val="baseline"/>
        <w:rPr>
          <w:rFonts w:hint="eastAsia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《危险废物贮存污染控制标准》（GB18597-2001）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30"/>
        <w:textAlignment w:val="baseline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《危险废物收集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贮存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运输技术规范》（HJ2025-2012）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30"/>
        <w:textAlignment w:val="baseline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《建筑施工场界环境噪声排放标准》（GB12523-2011）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0" w:firstLineChars="200"/>
        <w:textAlignment w:val="baseline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</w:rPr>
        <w:t>此复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</w:p>
    <w:p>
      <w:pPr>
        <w:pStyle w:val="3"/>
        <w:pageBreakBefore w:val="0"/>
        <w:widowControl w:val="0"/>
        <w:kinsoku/>
        <w:overflowPunct/>
        <w:topLinePunct w:val="0"/>
        <w:autoSpaceDE/>
        <w:autoSpaceDN/>
        <w:bidi w:val="0"/>
        <w:spacing w:line="360" w:lineRule="auto"/>
        <w:rPr>
          <w:rFonts w:hint="eastAsia" w:eastAsia="仿宋_GB2312"/>
          <w:sz w:val="32"/>
          <w:szCs w:val="32"/>
        </w:rPr>
      </w:pPr>
    </w:p>
    <w:p>
      <w:pPr>
        <w:pStyle w:val="3"/>
        <w:pageBreakBefore w:val="0"/>
        <w:widowControl w:val="0"/>
        <w:kinsoku/>
        <w:overflowPunct/>
        <w:topLinePunct w:val="0"/>
        <w:autoSpaceDE/>
        <w:autoSpaceDN/>
        <w:bidi w:val="0"/>
        <w:spacing w:line="360" w:lineRule="auto"/>
        <w:rPr>
          <w:rFonts w:hint="eastAsia" w:eastAsia="仿宋_GB2312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360" w:lineRule="auto"/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/>
        <w:spacing w:line="360" w:lineRule="auto"/>
        <w:ind w:firstLine="2800" w:firstLineChars="1000"/>
        <w:jc w:val="right"/>
        <w:rPr>
          <w:rFonts w:hint="eastAsia" w:eastAsia="仿宋_GB2312" w:cs="Times New Roman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eastAsia="仿宋_GB2312" w:cs="Times New Roman"/>
          <w:sz w:val="32"/>
          <w:highlight w:val="none"/>
          <w:lang w:val="en-US" w:eastAsia="zh-CN"/>
        </w:rPr>
        <w:t xml:space="preserve">    </w:t>
      </w:r>
    </w:p>
    <w:p>
      <w:pPr>
        <w:pStyle w:val="3"/>
        <w:wordWrap/>
        <w:rPr>
          <w:rFonts w:hint="eastAsia" w:eastAsia="仿宋_GB2312" w:cs="Times New Roman"/>
          <w:sz w:val="32"/>
          <w:highlight w:val="none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680" w:lineRule="exact"/>
        <w:ind w:firstLine="280" w:firstLineChars="100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主题词：环境影响 报告</w:t>
      </w:r>
      <w:r>
        <w:rPr>
          <w:rFonts w:hint="eastAsia" w:eastAsia="仿宋_GB2312" w:cs="Times New Roman"/>
          <w:sz w:val="28"/>
          <w:szCs w:val="28"/>
          <w:highlight w:val="none"/>
          <w:lang w:val="en-US" w:eastAsia="zh-CN"/>
        </w:rPr>
        <w:t>书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 xml:space="preserve"> 批复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 xml:space="preserve"> （共印</w:t>
      </w:r>
      <w:r>
        <w:rPr>
          <w:rFonts w:hint="eastAsia" w:eastAsia="仿宋_GB2312" w:cs="Times New Roman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份）</w:t>
      </w:r>
    </w:p>
    <w:tbl>
      <w:tblPr>
        <w:tblStyle w:val="6"/>
        <w:tblW w:w="90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54" w:type="dxa"/>
            <w:tcBorders>
              <w:top w:val="single" w:color="auto" w:sz="8" w:space="0"/>
              <w:bottom w:val="single" w:color="auto" w:sz="8" w:space="0"/>
            </w:tcBorders>
            <w:vAlign w:val="top"/>
          </w:tcPr>
          <w:p>
            <w:pPr>
              <w:spacing w:line="680" w:lineRule="exact"/>
              <w:ind w:right="160" w:firstLine="280" w:firstLineChars="100"/>
              <w:rPr>
                <w:rFonts w:hint="default" w:ascii="Times New Roman" w:hAnsi="Times New Roman" w:cs="Times New Roman"/>
                <w:sz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送：天津市滨海新区生态环境局</w:t>
            </w:r>
          </w:p>
        </w:tc>
      </w:tr>
    </w:tbl>
    <w:p>
      <w:pPr>
        <w:ind w:firstLine="280" w:firstLineChars="1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 xml:space="preserve">天津市滨海新区行政审批局             </w:t>
      </w:r>
      <w:r>
        <w:rPr>
          <w:rFonts w:hint="eastAsia" w:eastAsia="仿宋_GB2312" w:cs="Times New Roman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20</w:t>
      </w:r>
      <w:r>
        <w:rPr>
          <w:rFonts w:hint="eastAsia" w:eastAsia="仿宋_GB2312" w:cs="Times New Roman"/>
          <w:sz w:val="28"/>
          <w:szCs w:val="28"/>
          <w:highlight w:val="none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年</w:t>
      </w:r>
      <w:r>
        <w:rPr>
          <w:rFonts w:hint="eastAsia" w:eastAsia="仿宋_GB2312" w:cs="Times New Roman"/>
          <w:sz w:val="28"/>
          <w:szCs w:val="28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月</w:t>
      </w:r>
      <w:r>
        <w:rPr>
          <w:rFonts w:hint="eastAsia" w:eastAsia="仿宋_GB2312" w:cs="Times New Roman"/>
          <w:sz w:val="28"/>
          <w:szCs w:val="28"/>
          <w:highlight w:val="none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日印发</w:t>
      </w:r>
    </w:p>
    <w:sectPr>
      <w:footerReference r:id="rId3" w:type="default"/>
      <w:footerReference r:id="rId4" w:type="even"/>
      <w:pgSz w:w="11906" w:h="16838"/>
      <w:pgMar w:top="1440" w:right="1474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F7879F"/>
    <w:multiLevelType w:val="singleLevel"/>
    <w:tmpl w:val="56F787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4Y2IxYWRjN2EzMDcyYTNjZmRhN2U4ZWRiYWRmNGEifQ=="/>
  </w:docVars>
  <w:rsids>
    <w:rsidRoot w:val="00745E92"/>
    <w:rsid w:val="000052E2"/>
    <w:rsid w:val="000D0BAA"/>
    <w:rsid w:val="000F7AB4"/>
    <w:rsid w:val="0010188A"/>
    <w:rsid w:val="001070EC"/>
    <w:rsid w:val="00145F43"/>
    <w:rsid w:val="00152774"/>
    <w:rsid w:val="00180D2F"/>
    <w:rsid w:val="001964EB"/>
    <w:rsid w:val="001A023C"/>
    <w:rsid w:val="00234BD5"/>
    <w:rsid w:val="00254B41"/>
    <w:rsid w:val="002E284B"/>
    <w:rsid w:val="002F77FC"/>
    <w:rsid w:val="00345096"/>
    <w:rsid w:val="00371377"/>
    <w:rsid w:val="00380F59"/>
    <w:rsid w:val="00396D44"/>
    <w:rsid w:val="003E7586"/>
    <w:rsid w:val="003F4130"/>
    <w:rsid w:val="004167F4"/>
    <w:rsid w:val="00421888"/>
    <w:rsid w:val="00454338"/>
    <w:rsid w:val="00487BC1"/>
    <w:rsid w:val="00531BD1"/>
    <w:rsid w:val="00566C93"/>
    <w:rsid w:val="00631BCE"/>
    <w:rsid w:val="006A0BFE"/>
    <w:rsid w:val="0071652F"/>
    <w:rsid w:val="00745E92"/>
    <w:rsid w:val="007939DD"/>
    <w:rsid w:val="008208B6"/>
    <w:rsid w:val="00863565"/>
    <w:rsid w:val="008B1BF1"/>
    <w:rsid w:val="008F05BC"/>
    <w:rsid w:val="00950011"/>
    <w:rsid w:val="009807C5"/>
    <w:rsid w:val="009824E1"/>
    <w:rsid w:val="0099150D"/>
    <w:rsid w:val="00996955"/>
    <w:rsid w:val="009A1665"/>
    <w:rsid w:val="009D54C7"/>
    <w:rsid w:val="009D7E7F"/>
    <w:rsid w:val="00A31EB3"/>
    <w:rsid w:val="00A6299F"/>
    <w:rsid w:val="00A85A8F"/>
    <w:rsid w:val="00AD6183"/>
    <w:rsid w:val="00AD7A1F"/>
    <w:rsid w:val="00B375DB"/>
    <w:rsid w:val="00B941D8"/>
    <w:rsid w:val="00BF6B0B"/>
    <w:rsid w:val="00C8289E"/>
    <w:rsid w:val="00CE5024"/>
    <w:rsid w:val="00D006C4"/>
    <w:rsid w:val="00D12F65"/>
    <w:rsid w:val="00D52B80"/>
    <w:rsid w:val="00DA5608"/>
    <w:rsid w:val="00DD7D5A"/>
    <w:rsid w:val="00DE0B7D"/>
    <w:rsid w:val="00E334F0"/>
    <w:rsid w:val="00E530D0"/>
    <w:rsid w:val="00E630C8"/>
    <w:rsid w:val="00E81FC7"/>
    <w:rsid w:val="00E913AD"/>
    <w:rsid w:val="00EA5C54"/>
    <w:rsid w:val="00EF0A9C"/>
    <w:rsid w:val="00EF29FD"/>
    <w:rsid w:val="00F10477"/>
    <w:rsid w:val="00F33160"/>
    <w:rsid w:val="00F436B2"/>
    <w:rsid w:val="00F54B05"/>
    <w:rsid w:val="00F56775"/>
    <w:rsid w:val="00F71A97"/>
    <w:rsid w:val="00F842B6"/>
    <w:rsid w:val="00FC26E4"/>
    <w:rsid w:val="013B151C"/>
    <w:rsid w:val="01464BF0"/>
    <w:rsid w:val="01605565"/>
    <w:rsid w:val="017D0E60"/>
    <w:rsid w:val="01D17DF6"/>
    <w:rsid w:val="022C4AC3"/>
    <w:rsid w:val="03171546"/>
    <w:rsid w:val="031C0752"/>
    <w:rsid w:val="03E200DC"/>
    <w:rsid w:val="03EA0063"/>
    <w:rsid w:val="04970BC1"/>
    <w:rsid w:val="04AD0797"/>
    <w:rsid w:val="04B96E70"/>
    <w:rsid w:val="050725B7"/>
    <w:rsid w:val="079075EF"/>
    <w:rsid w:val="07CF6683"/>
    <w:rsid w:val="08CC7EF8"/>
    <w:rsid w:val="0A616717"/>
    <w:rsid w:val="0A7B58F8"/>
    <w:rsid w:val="0A993ECD"/>
    <w:rsid w:val="0AB95CD5"/>
    <w:rsid w:val="0AFD432E"/>
    <w:rsid w:val="0B0D5A13"/>
    <w:rsid w:val="0B6D14B7"/>
    <w:rsid w:val="0C072BA3"/>
    <w:rsid w:val="0CD111DE"/>
    <w:rsid w:val="0D777966"/>
    <w:rsid w:val="0DA17C0A"/>
    <w:rsid w:val="0E491814"/>
    <w:rsid w:val="0F15100D"/>
    <w:rsid w:val="0FA859B9"/>
    <w:rsid w:val="0FBF42EC"/>
    <w:rsid w:val="11B83623"/>
    <w:rsid w:val="11D91F41"/>
    <w:rsid w:val="126758C9"/>
    <w:rsid w:val="138327ED"/>
    <w:rsid w:val="13BC14FD"/>
    <w:rsid w:val="14367871"/>
    <w:rsid w:val="1518002A"/>
    <w:rsid w:val="156C7AAC"/>
    <w:rsid w:val="15794D99"/>
    <w:rsid w:val="16420B4B"/>
    <w:rsid w:val="16B81BB1"/>
    <w:rsid w:val="17977B39"/>
    <w:rsid w:val="17B46048"/>
    <w:rsid w:val="180E7B33"/>
    <w:rsid w:val="184D3DB0"/>
    <w:rsid w:val="184F32DE"/>
    <w:rsid w:val="19827E91"/>
    <w:rsid w:val="19B95B36"/>
    <w:rsid w:val="19C23FA1"/>
    <w:rsid w:val="1C833B2D"/>
    <w:rsid w:val="1D992813"/>
    <w:rsid w:val="1E062E52"/>
    <w:rsid w:val="1E742A13"/>
    <w:rsid w:val="1E8563FC"/>
    <w:rsid w:val="1E860E96"/>
    <w:rsid w:val="1F3259C6"/>
    <w:rsid w:val="1FEF18D2"/>
    <w:rsid w:val="217E0DA2"/>
    <w:rsid w:val="21D74401"/>
    <w:rsid w:val="220D79D5"/>
    <w:rsid w:val="228D1920"/>
    <w:rsid w:val="235F1C43"/>
    <w:rsid w:val="246E51C2"/>
    <w:rsid w:val="251F2C93"/>
    <w:rsid w:val="25930AA1"/>
    <w:rsid w:val="25B77F28"/>
    <w:rsid w:val="261C2711"/>
    <w:rsid w:val="26333F5B"/>
    <w:rsid w:val="264C63DC"/>
    <w:rsid w:val="278A4387"/>
    <w:rsid w:val="27927955"/>
    <w:rsid w:val="27DF6D5B"/>
    <w:rsid w:val="27EFD154"/>
    <w:rsid w:val="281C22BD"/>
    <w:rsid w:val="28A50490"/>
    <w:rsid w:val="290416FB"/>
    <w:rsid w:val="2A5D64F1"/>
    <w:rsid w:val="2A733BCB"/>
    <w:rsid w:val="2A8E570B"/>
    <w:rsid w:val="2B4D1B42"/>
    <w:rsid w:val="2B5A4C61"/>
    <w:rsid w:val="2B892A8E"/>
    <w:rsid w:val="2BAB40FB"/>
    <w:rsid w:val="2C11317A"/>
    <w:rsid w:val="2CE209F7"/>
    <w:rsid w:val="2DA85F50"/>
    <w:rsid w:val="2DE85F13"/>
    <w:rsid w:val="2E727497"/>
    <w:rsid w:val="2F3D2523"/>
    <w:rsid w:val="2FC339E9"/>
    <w:rsid w:val="31140AC3"/>
    <w:rsid w:val="317719DB"/>
    <w:rsid w:val="31C439B0"/>
    <w:rsid w:val="31D3618D"/>
    <w:rsid w:val="31E47D3B"/>
    <w:rsid w:val="324956B8"/>
    <w:rsid w:val="32C822C3"/>
    <w:rsid w:val="330A7AD7"/>
    <w:rsid w:val="33937C59"/>
    <w:rsid w:val="33CC3E98"/>
    <w:rsid w:val="34D7709C"/>
    <w:rsid w:val="34DD613F"/>
    <w:rsid w:val="3536679E"/>
    <w:rsid w:val="3678062E"/>
    <w:rsid w:val="36BE3C29"/>
    <w:rsid w:val="37FD68A6"/>
    <w:rsid w:val="38BA638D"/>
    <w:rsid w:val="393B4C3B"/>
    <w:rsid w:val="3982447C"/>
    <w:rsid w:val="39851AEA"/>
    <w:rsid w:val="39930ABA"/>
    <w:rsid w:val="399A2EB5"/>
    <w:rsid w:val="3A8A3CD3"/>
    <w:rsid w:val="3C0B33E8"/>
    <w:rsid w:val="3C491AF5"/>
    <w:rsid w:val="3CB16EAA"/>
    <w:rsid w:val="3D1B42E3"/>
    <w:rsid w:val="3D8D3BBB"/>
    <w:rsid w:val="3E053D44"/>
    <w:rsid w:val="3E6B05F3"/>
    <w:rsid w:val="3F4FADF9"/>
    <w:rsid w:val="419A35AC"/>
    <w:rsid w:val="41A33B65"/>
    <w:rsid w:val="41BA15F9"/>
    <w:rsid w:val="420A2FF8"/>
    <w:rsid w:val="42195A6A"/>
    <w:rsid w:val="423E4456"/>
    <w:rsid w:val="43AE49AE"/>
    <w:rsid w:val="44F21C4B"/>
    <w:rsid w:val="44FB4C60"/>
    <w:rsid w:val="45AD6951"/>
    <w:rsid w:val="463C00DC"/>
    <w:rsid w:val="47221287"/>
    <w:rsid w:val="47845592"/>
    <w:rsid w:val="485477BF"/>
    <w:rsid w:val="485D46A3"/>
    <w:rsid w:val="48B431C7"/>
    <w:rsid w:val="4A13595D"/>
    <w:rsid w:val="4AE83298"/>
    <w:rsid w:val="4B106CD2"/>
    <w:rsid w:val="4B6E2F2C"/>
    <w:rsid w:val="4BE796EC"/>
    <w:rsid w:val="4C895B69"/>
    <w:rsid w:val="4CCA745D"/>
    <w:rsid w:val="4CDA69D2"/>
    <w:rsid w:val="4D6923EE"/>
    <w:rsid w:val="4D7A256B"/>
    <w:rsid w:val="4EA51583"/>
    <w:rsid w:val="4F016F2E"/>
    <w:rsid w:val="4F9E2FE4"/>
    <w:rsid w:val="50084B24"/>
    <w:rsid w:val="502925FF"/>
    <w:rsid w:val="50C54397"/>
    <w:rsid w:val="50D413E4"/>
    <w:rsid w:val="517F3AB5"/>
    <w:rsid w:val="51872AF4"/>
    <w:rsid w:val="51A96376"/>
    <w:rsid w:val="51FF48CF"/>
    <w:rsid w:val="5261193E"/>
    <w:rsid w:val="52B31C66"/>
    <w:rsid w:val="532F01F2"/>
    <w:rsid w:val="53333171"/>
    <w:rsid w:val="53334AA9"/>
    <w:rsid w:val="537F0991"/>
    <w:rsid w:val="53AE632F"/>
    <w:rsid w:val="541A70D3"/>
    <w:rsid w:val="54D67081"/>
    <w:rsid w:val="56266096"/>
    <w:rsid w:val="562D4626"/>
    <w:rsid w:val="565D2F93"/>
    <w:rsid w:val="56F00E14"/>
    <w:rsid w:val="5750757E"/>
    <w:rsid w:val="57BE7DB0"/>
    <w:rsid w:val="57FB5848"/>
    <w:rsid w:val="581A10A7"/>
    <w:rsid w:val="585670E8"/>
    <w:rsid w:val="589B5BB7"/>
    <w:rsid w:val="59465D4C"/>
    <w:rsid w:val="59A10B54"/>
    <w:rsid w:val="5A9211A0"/>
    <w:rsid w:val="5AC93C91"/>
    <w:rsid w:val="5B6E30F8"/>
    <w:rsid w:val="5BF87ACE"/>
    <w:rsid w:val="5CE11D93"/>
    <w:rsid w:val="5D1A2FE5"/>
    <w:rsid w:val="5DB84FA9"/>
    <w:rsid w:val="5E0A1E6D"/>
    <w:rsid w:val="5E2A6CFE"/>
    <w:rsid w:val="5F9A6485"/>
    <w:rsid w:val="60054479"/>
    <w:rsid w:val="619F7DE0"/>
    <w:rsid w:val="61F11BB7"/>
    <w:rsid w:val="628A6975"/>
    <w:rsid w:val="62F9157D"/>
    <w:rsid w:val="63A519FA"/>
    <w:rsid w:val="63C42AC6"/>
    <w:rsid w:val="66CB2462"/>
    <w:rsid w:val="67E84C5C"/>
    <w:rsid w:val="67FAB6A6"/>
    <w:rsid w:val="686A0B4A"/>
    <w:rsid w:val="68CD0632"/>
    <w:rsid w:val="6A68020F"/>
    <w:rsid w:val="6B09418A"/>
    <w:rsid w:val="6B614426"/>
    <w:rsid w:val="6B622B93"/>
    <w:rsid w:val="6C480D9E"/>
    <w:rsid w:val="6C5E4195"/>
    <w:rsid w:val="6CBE07C5"/>
    <w:rsid w:val="6CE124F8"/>
    <w:rsid w:val="6D170401"/>
    <w:rsid w:val="6D743EEF"/>
    <w:rsid w:val="6DB737E2"/>
    <w:rsid w:val="6E90198F"/>
    <w:rsid w:val="6F2605FE"/>
    <w:rsid w:val="6F4020DE"/>
    <w:rsid w:val="6FF3011B"/>
    <w:rsid w:val="70327722"/>
    <w:rsid w:val="706E47D2"/>
    <w:rsid w:val="71555B8F"/>
    <w:rsid w:val="71B60E95"/>
    <w:rsid w:val="71F065BA"/>
    <w:rsid w:val="722D30F7"/>
    <w:rsid w:val="729829D6"/>
    <w:rsid w:val="73067FA2"/>
    <w:rsid w:val="73935D89"/>
    <w:rsid w:val="73C20023"/>
    <w:rsid w:val="73C90575"/>
    <w:rsid w:val="74235FBB"/>
    <w:rsid w:val="7458541A"/>
    <w:rsid w:val="7479752E"/>
    <w:rsid w:val="74B0668E"/>
    <w:rsid w:val="75F63195"/>
    <w:rsid w:val="76A77C9C"/>
    <w:rsid w:val="76D4578A"/>
    <w:rsid w:val="770574A0"/>
    <w:rsid w:val="775F0DB0"/>
    <w:rsid w:val="77814EDE"/>
    <w:rsid w:val="77EDFDD1"/>
    <w:rsid w:val="78241FCC"/>
    <w:rsid w:val="78314320"/>
    <w:rsid w:val="787E122A"/>
    <w:rsid w:val="78B56081"/>
    <w:rsid w:val="7A134250"/>
    <w:rsid w:val="7A4D29BF"/>
    <w:rsid w:val="7C4F638F"/>
    <w:rsid w:val="7D123060"/>
    <w:rsid w:val="7DFF6E30"/>
    <w:rsid w:val="7E6C59D9"/>
    <w:rsid w:val="7EBC726E"/>
    <w:rsid w:val="7F6570EC"/>
    <w:rsid w:val="7F7B189A"/>
    <w:rsid w:val="7F9A4802"/>
    <w:rsid w:val="7FD231E4"/>
    <w:rsid w:val="7FFE227A"/>
    <w:rsid w:val="7FFE31C4"/>
    <w:rsid w:val="9B978D3E"/>
    <w:rsid w:val="9EFFF49F"/>
    <w:rsid w:val="D7FDC5B7"/>
    <w:rsid w:val="EF3539B6"/>
    <w:rsid w:val="EFE98191"/>
    <w:rsid w:val="FBD83D49"/>
    <w:rsid w:val="FCEF88CB"/>
    <w:rsid w:val="FDDB8B95"/>
    <w:rsid w:val="FFBF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kern w:val="44"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Emphasis"/>
    <w:basedOn w:val="7"/>
    <w:qFormat/>
    <w:uiPriority w:val="0"/>
    <w:rPr>
      <w:i/>
    </w:rPr>
  </w:style>
  <w:style w:type="character" w:customStyle="1" w:styleId="10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眉 Char"/>
    <w:basedOn w:val="7"/>
    <w:link w:val="5"/>
    <w:qFormat/>
    <w:uiPriority w:val="0"/>
    <w:rPr>
      <w:kern w:val="2"/>
      <w:sz w:val="18"/>
      <w:szCs w:val="18"/>
    </w:rPr>
  </w:style>
  <w:style w:type="paragraph" w:customStyle="1" w:styleId="12">
    <w:name w:val="中文报告书样式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24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1450</Words>
  <Characters>1580</Characters>
  <Lines>1</Lines>
  <Paragraphs>1</Paragraphs>
  <TotalTime>4</TotalTime>
  <ScaleCrop>false</ScaleCrop>
  <LinksUpToDate>false</LinksUpToDate>
  <CharactersWithSpaces>1634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2014-05-24T17:22:00Z</dcterms:created>
  <dc:creator>张明蕾</dc:creator>
  <cp:lastModifiedBy>许微</cp:lastModifiedBy>
  <cp:lastPrinted>2021-08-19T11:19:00Z</cp:lastPrinted>
  <dcterms:modified xsi:type="dcterms:W3CDTF">2024-06-28T09:11:09Z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DB58DD049DB542C78D1AFF083D6A6659</vt:lpwstr>
  </property>
</Properties>
</file>