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2ACF" w:rsidRDefault="000C2ACF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0C2ACF" w:rsidRDefault="009A2702">
      <w:pPr>
        <w:pStyle w:val="a8"/>
        <w:spacing w:before="0" w:after="0" w:line="6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区政务服务办关于印发预决算公开工作</w:t>
      </w:r>
    </w:p>
    <w:p w:rsidR="000C2ACF" w:rsidRDefault="009A2702">
      <w:pPr>
        <w:pStyle w:val="a8"/>
        <w:spacing w:before="0" w:after="0" w:line="6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操作规程的通知</w:t>
      </w:r>
    </w:p>
    <w:p w:rsidR="000C2ACF" w:rsidRDefault="000C2ACF">
      <w:pPr>
        <w:rPr>
          <w:rFonts w:ascii="仿宋_GB2312" w:eastAsia="仿宋_GB2312" w:hAnsi="仿宋_GB2312" w:cs="仿宋_GB2312"/>
          <w:sz w:val="32"/>
          <w:szCs w:val="32"/>
        </w:rPr>
      </w:pPr>
    </w:p>
    <w:p w:rsidR="000C2ACF" w:rsidRDefault="009A270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各二级预算单位：</w:t>
      </w:r>
    </w:p>
    <w:p w:rsidR="000C2ACF" w:rsidRDefault="009A270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现将《区政务服务办预决算公开工作操作规程》印发给你们，请认真落实，遵照执行。</w:t>
      </w:r>
    </w:p>
    <w:p w:rsidR="000C2ACF" w:rsidRDefault="000C2AC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2ACF" w:rsidRDefault="000C2AC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2ACF" w:rsidRDefault="000C2AC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2ACF" w:rsidRDefault="009A2702">
      <w:pPr>
        <w:ind w:rightChars="800" w:right="168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 w:rsidR="000C2ACF" w:rsidRDefault="009A270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0C2ACF" w:rsidRDefault="000C2AC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2ACF" w:rsidRDefault="009A2702">
      <w:pPr>
        <w:pStyle w:val="a8"/>
        <w:spacing w:before="0" w:after="0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区政务服务办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预决算公开工作操作规程</w:t>
      </w:r>
    </w:p>
    <w:p w:rsidR="000C2ACF" w:rsidRDefault="000C2ACF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为进一步规范部门预决算公开工作，根据《中华人民共和国预算法》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财政部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、区人民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政府对预决算信息公开的有关要求，制定本规程。</w:t>
      </w:r>
    </w:p>
    <w:p w:rsidR="000C2ACF" w:rsidRDefault="009A270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一、公开职责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区政务服务办</w:t>
      </w:r>
      <w:r>
        <w:rPr>
          <w:rFonts w:ascii="仿宋_GB2312" w:eastAsia="仿宋_GB2312" w:hint="eastAsia"/>
          <w:sz w:val="32"/>
          <w:szCs w:val="32"/>
        </w:rPr>
        <w:t>是部门预决算公开的主体</w:t>
      </w:r>
      <w:r>
        <w:rPr>
          <w:rFonts w:ascii="仿宋_GB2312" w:eastAsia="仿宋_GB2312" w:hint="eastAsia"/>
          <w:sz w:val="32"/>
          <w:szCs w:val="32"/>
        </w:rPr>
        <w:t>（一级预算单位）</w:t>
      </w:r>
      <w:r>
        <w:rPr>
          <w:rFonts w:ascii="仿宋_GB2312" w:eastAsia="仿宋_GB2312" w:hint="eastAsia"/>
          <w:sz w:val="32"/>
          <w:szCs w:val="32"/>
        </w:rPr>
        <w:t>，负责本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预决算公开工作</w:t>
      </w:r>
      <w:r>
        <w:rPr>
          <w:rFonts w:ascii="仿宋_GB2312" w:eastAsia="仿宋_GB2312" w:hint="eastAsia"/>
          <w:sz w:val="32"/>
          <w:szCs w:val="32"/>
        </w:rPr>
        <w:t>；区政务服务办本级、区政务服务保</w:t>
      </w:r>
      <w:r>
        <w:rPr>
          <w:rFonts w:ascii="仿宋_GB2312" w:eastAsia="仿宋_GB2312" w:hint="eastAsia"/>
          <w:sz w:val="32"/>
          <w:szCs w:val="32"/>
        </w:rPr>
        <w:lastRenderedPageBreak/>
        <w:t>障中心是单位预决算公开的主体（二级预算单位），负责本单位预决算公开。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各单位应当树立依法公开观念，增强主动公开意识，切实履行主动公开责任，做好预决算公开后的说明解释工作。</w:t>
      </w:r>
    </w:p>
    <w:p w:rsidR="000C2ACF" w:rsidRDefault="009A270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二、公开时间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eastAsia="仿宋_GB2312" w:hint="eastAsia"/>
          <w:sz w:val="32"/>
          <w:szCs w:val="32"/>
        </w:rPr>
        <w:t>预算法》</w:t>
      </w:r>
      <w:r>
        <w:rPr>
          <w:rFonts w:ascii="仿宋_GB2312" w:eastAsia="仿宋_GB2312" w:hint="eastAsia"/>
          <w:sz w:val="32"/>
          <w:szCs w:val="32"/>
        </w:rPr>
        <w:t>《天津市预算审查监督条例》</w:t>
      </w:r>
      <w:r>
        <w:rPr>
          <w:rFonts w:eastAsia="仿宋_GB2312" w:hint="eastAsia"/>
          <w:sz w:val="32"/>
          <w:szCs w:val="32"/>
        </w:rPr>
        <w:t>相关规定，经</w:t>
      </w:r>
      <w:r>
        <w:rPr>
          <w:rFonts w:ascii="仿宋_GB2312" w:eastAsia="仿宋_GB2312" w:hint="eastAsia"/>
          <w:sz w:val="32"/>
          <w:szCs w:val="32"/>
        </w:rPr>
        <w:t>财政部门批复的部门预算、决算及报表，应当在批复后二十日内向社会公开；经预算主管部门批复的单位预算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决算及报表，应当在批复之日起二十日内由各单位向社会公开。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各单位必须在法律规定的时限内公开，原则上在同一天集中公开。</w:t>
      </w:r>
    </w:p>
    <w:p w:rsidR="000C2ACF" w:rsidRDefault="009A270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三、公开内容</w:t>
      </w:r>
    </w:p>
    <w:p w:rsidR="000C2ACF" w:rsidRDefault="009A2702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部门预决算公开的内容为财政部门批复的部门预决算及报表，包括收支总体情况和财政拨款收支情况。涉及国家秘密的除外。</w:t>
      </w:r>
    </w:p>
    <w:p w:rsidR="000C2ACF" w:rsidRDefault="009A2702" w:rsidP="00D56F18">
      <w:pPr>
        <w:spacing w:line="56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用车购置及运行费”应细化到“公务用车购置费”、“公务用车运行费”两个项目。</w:t>
      </w:r>
    </w:p>
    <w:p w:rsidR="000C2ACF" w:rsidRDefault="009A2702" w:rsidP="00D56F18">
      <w:pPr>
        <w:spacing w:line="56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公开部门预决算时，应当一并公开本部门职责、机构设置情况、预决算收支增减变化、机关运行经费安排、政府采购、预算</w:t>
      </w:r>
      <w:r>
        <w:rPr>
          <w:rFonts w:ascii="仿宋_GB2312" w:eastAsia="仿宋_GB2312" w:hint="eastAsia"/>
          <w:sz w:val="32"/>
          <w:szCs w:val="32"/>
        </w:rPr>
        <w:lastRenderedPageBreak/>
        <w:t>绩效以</w:t>
      </w:r>
      <w:r>
        <w:rPr>
          <w:rFonts w:ascii="仿宋_GB2312" w:eastAsia="仿宋_GB2312" w:hint="eastAsia"/>
          <w:sz w:val="32"/>
          <w:szCs w:val="32"/>
        </w:rPr>
        <w:t>及国有资产占用等情况的说明，并对专业性较强的名词进行解释。</w:t>
      </w:r>
    </w:p>
    <w:p w:rsidR="000C2ACF" w:rsidRDefault="009A270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四、公开形式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部门预决算公开专栏，汇总集中公开所属单位预决算信息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各单位应当通过本单位门户网站向社会公开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预决算</w:t>
      </w:r>
      <w:r>
        <w:rPr>
          <w:rFonts w:ascii="仿宋_GB2312" w:eastAsia="仿宋_GB2312" w:hint="eastAsia"/>
          <w:sz w:val="32"/>
          <w:szCs w:val="32"/>
        </w:rPr>
        <w:t>及“三公”经费预决算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，并永久保留</w:t>
      </w:r>
      <w:r>
        <w:rPr>
          <w:rFonts w:ascii="仿宋_GB2312" w:eastAsia="仿宋_GB2312" w:hAnsi="仿宋_GB2312" w:cs="仿宋_GB2312" w:hint="eastAsia"/>
          <w:sz w:val="32"/>
          <w:szCs w:val="32"/>
        </w:rPr>
        <w:t>；无门户网站的单位，应当由部门代公开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2ACF" w:rsidRDefault="009A270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五、涉密事项管理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各单位应当建立健全预决算公开保密审查机制，严格按照《中华人民共和国保守国家秘密法》《中华人民共和国政府信息公开条例》等法律法规进行审查。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各单位在依法公开部门预决算时，对涉及国家秘密的内容不予公开。部分内容涉及国家秘密的，在确保安全的</w:t>
      </w:r>
      <w:r>
        <w:rPr>
          <w:rFonts w:ascii="仿宋_GB2312" w:eastAsia="仿宋_GB2312" w:hint="eastAsia"/>
          <w:sz w:val="32"/>
          <w:szCs w:val="32"/>
        </w:rPr>
        <w:t>前提下，按照下列原则处理：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（一）同一功能分类款级科目下，大部分项级科目涉密的，仅公开到该款级科目；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（二）同一功能分类类级科目下，大部分款级科目涉密的，仅公开到该类级科目；</w:t>
      </w:r>
    </w:p>
    <w:p w:rsidR="000C2ACF" w:rsidRDefault="009A27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（三）个别功能分类款级科目或项级科目涉密的，除不公开该涉密科目外，同一级次的“其他支出”科目也不公开。</w:t>
      </w: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0C2ACF" w:rsidRDefault="000C2AC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0C2ACF" w:rsidRDefault="000C2ACF">
      <w:pPr>
        <w:rPr>
          <w:rFonts w:ascii="仿宋_GB2312" w:eastAsia="仿宋_GB2312" w:hAnsi="仿宋"/>
          <w:sz w:val="28"/>
          <w:szCs w:val="28"/>
        </w:rPr>
      </w:pPr>
    </w:p>
    <w:p w:rsidR="000C2ACF" w:rsidRDefault="000C2ACF">
      <w:pPr>
        <w:rPr>
          <w:rFonts w:ascii="仿宋_GB2312" w:eastAsia="仿宋_GB2312" w:hAnsi="仿宋"/>
          <w:sz w:val="28"/>
          <w:szCs w:val="28"/>
        </w:rPr>
      </w:pPr>
      <w:r w:rsidRPr="000C2ACF">
        <w:rPr>
          <w:rFonts w:ascii="黑体" w:eastAsia="黑体" w:hAnsi="仿宋"/>
          <w:sz w:val="32"/>
          <w:szCs w:val="32"/>
        </w:rPr>
        <w:pict>
          <v:line id="_x0000_s1030" style="position:absolute;left:0;text-align:left;z-index:251658240" from="-.1pt,30.5pt" to="442.3pt,30.5pt" strokeweight="1.25pt"/>
        </w:pict>
      </w:r>
      <w:r w:rsidRPr="000C2ACF">
        <w:rPr>
          <w:rFonts w:ascii="黑体" w:eastAsia="黑体" w:hAnsi="仿宋"/>
          <w:sz w:val="32"/>
          <w:szCs w:val="32"/>
        </w:rPr>
        <w:pict>
          <v:line id="_x0000_s1031" style="position:absolute;left:0;text-align:left;z-index:251659264" from="-.1pt,.75pt" to="442.3pt,.75pt" strokeweight="1.25pt"/>
        </w:pict>
      </w:r>
      <w:r w:rsidR="009A2702">
        <w:rPr>
          <w:rFonts w:ascii="仿宋_GB2312" w:eastAsia="仿宋_GB2312" w:hAnsi="仿宋" w:hint="eastAsia"/>
          <w:sz w:val="28"/>
          <w:szCs w:val="28"/>
        </w:rPr>
        <w:t>天津市滨海新区人民政府政务服务办综合室</w:t>
      </w:r>
      <w:r w:rsidR="009A2702">
        <w:rPr>
          <w:rFonts w:ascii="仿宋_GB2312" w:eastAsia="仿宋_GB2312" w:hAnsi="仿宋" w:hint="eastAsia"/>
          <w:sz w:val="28"/>
          <w:szCs w:val="28"/>
        </w:rPr>
        <w:t xml:space="preserve">    20</w:t>
      </w:r>
      <w:r w:rsidR="009A2702">
        <w:rPr>
          <w:rFonts w:ascii="仿宋_GB2312" w:eastAsia="仿宋_GB2312" w:hAnsi="仿宋" w:hint="eastAsia"/>
          <w:sz w:val="28"/>
          <w:szCs w:val="28"/>
        </w:rPr>
        <w:t>22</w:t>
      </w:r>
      <w:r w:rsidR="009A2702">
        <w:rPr>
          <w:rFonts w:ascii="仿宋_GB2312" w:eastAsia="仿宋_GB2312" w:hAnsi="仿宋" w:hint="eastAsia"/>
          <w:sz w:val="28"/>
          <w:szCs w:val="28"/>
        </w:rPr>
        <w:t>年</w:t>
      </w:r>
      <w:r w:rsidR="009A2702">
        <w:rPr>
          <w:rFonts w:ascii="仿宋_GB2312" w:eastAsia="仿宋_GB2312" w:hAnsi="仿宋" w:hint="eastAsia"/>
          <w:sz w:val="28"/>
          <w:szCs w:val="28"/>
        </w:rPr>
        <w:t>5</w:t>
      </w:r>
      <w:r w:rsidR="009A2702">
        <w:rPr>
          <w:rFonts w:ascii="仿宋_GB2312" w:eastAsia="仿宋_GB2312" w:hAnsi="仿宋" w:hint="eastAsia"/>
          <w:sz w:val="28"/>
          <w:szCs w:val="28"/>
        </w:rPr>
        <w:t>月</w:t>
      </w:r>
      <w:r w:rsidR="009A2702">
        <w:rPr>
          <w:rFonts w:ascii="仿宋_GB2312" w:eastAsia="仿宋_GB2312" w:hAnsi="仿宋" w:hint="eastAsia"/>
          <w:sz w:val="28"/>
          <w:szCs w:val="28"/>
        </w:rPr>
        <w:t>23</w:t>
      </w:r>
      <w:r w:rsidR="009A2702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0C2ACF" w:rsidSect="000C2ACF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02" w:rsidRDefault="009A2702" w:rsidP="000C2ACF">
      <w:r>
        <w:separator/>
      </w:r>
    </w:p>
  </w:endnote>
  <w:endnote w:type="continuationSeparator" w:id="1">
    <w:p w:rsidR="009A2702" w:rsidRDefault="009A2702" w:rsidP="000C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CF" w:rsidRDefault="009A2702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0C2ACF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0C2ACF">
      <w:rPr>
        <w:rStyle w:val="a9"/>
        <w:rFonts w:ascii="宋体" w:hAnsi="宋体"/>
        <w:sz w:val="28"/>
        <w:szCs w:val="28"/>
      </w:rPr>
      <w:fldChar w:fldCharType="separate"/>
    </w:r>
    <w:r w:rsidR="00D56F18">
      <w:rPr>
        <w:rStyle w:val="a9"/>
        <w:rFonts w:ascii="宋体" w:hAnsi="宋体"/>
        <w:noProof/>
        <w:sz w:val="28"/>
        <w:szCs w:val="28"/>
      </w:rPr>
      <w:t>2</w:t>
    </w:r>
    <w:r w:rsidR="000C2ACF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0C2ACF" w:rsidRDefault="000C2ACF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CF" w:rsidRDefault="009A2702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0C2ACF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0C2ACF">
      <w:rPr>
        <w:rStyle w:val="a9"/>
        <w:rFonts w:ascii="宋体" w:hAnsi="宋体"/>
        <w:sz w:val="28"/>
        <w:szCs w:val="28"/>
      </w:rPr>
      <w:fldChar w:fldCharType="separate"/>
    </w:r>
    <w:r w:rsidR="00D56F18">
      <w:rPr>
        <w:rStyle w:val="a9"/>
        <w:rFonts w:ascii="宋体" w:hAnsi="宋体"/>
        <w:noProof/>
        <w:sz w:val="28"/>
        <w:szCs w:val="28"/>
      </w:rPr>
      <w:t>1</w:t>
    </w:r>
    <w:r w:rsidR="000C2ACF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0C2ACF" w:rsidRDefault="000C2ACF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02" w:rsidRDefault="009A2702" w:rsidP="000C2ACF">
      <w:r>
        <w:separator/>
      </w:r>
    </w:p>
  </w:footnote>
  <w:footnote w:type="continuationSeparator" w:id="1">
    <w:p w:rsidR="009A2702" w:rsidRDefault="009A2702" w:rsidP="000C2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9C9DBF0C"/>
    <w:rsid w:val="9DB3F8A1"/>
    <w:rsid w:val="9E7F8450"/>
    <w:rsid w:val="AD8F098E"/>
    <w:rsid w:val="DD792701"/>
    <w:rsid w:val="F3F6CF62"/>
    <w:rsid w:val="F63BC6DE"/>
    <w:rsid w:val="00000F20"/>
    <w:rsid w:val="000C2ACF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A2702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D56F18"/>
    <w:rsid w:val="00E20FA7"/>
    <w:rsid w:val="00E71DA6"/>
    <w:rsid w:val="00E92770"/>
    <w:rsid w:val="00F84EC7"/>
    <w:rsid w:val="2F6E2B88"/>
    <w:rsid w:val="3EDFB584"/>
    <w:rsid w:val="57FF5170"/>
    <w:rsid w:val="57FF7956"/>
    <w:rsid w:val="685F74F7"/>
    <w:rsid w:val="6D7F0A7D"/>
    <w:rsid w:val="6DF9B33B"/>
    <w:rsid w:val="7FD5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0C2ACF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0C2ACF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0C2ACF"/>
    <w:rPr>
      <w:sz w:val="18"/>
      <w:szCs w:val="18"/>
    </w:rPr>
  </w:style>
  <w:style w:type="paragraph" w:styleId="a6">
    <w:name w:val="footer"/>
    <w:basedOn w:val="a"/>
    <w:link w:val="Char"/>
    <w:qFormat/>
    <w:rsid w:val="000C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C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0C2AC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0C2ACF"/>
  </w:style>
  <w:style w:type="character" w:styleId="aa">
    <w:name w:val="FollowedHyperlink"/>
    <w:basedOn w:val="a0"/>
    <w:qFormat/>
    <w:rsid w:val="000C2ACF"/>
    <w:rPr>
      <w:color w:val="800080"/>
      <w:u w:val="single"/>
    </w:rPr>
  </w:style>
  <w:style w:type="character" w:styleId="ab">
    <w:name w:val="Hyperlink"/>
    <w:basedOn w:val="a0"/>
    <w:qFormat/>
    <w:rsid w:val="000C2ACF"/>
    <w:rPr>
      <w:color w:val="0000FF"/>
      <w:u w:val="single"/>
    </w:rPr>
  </w:style>
  <w:style w:type="paragraph" w:customStyle="1" w:styleId="Style2">
    <w:name w:val="_Style 2"/>
    <w:basedOn w:val="a"/>
    <w:qFormat/>
    <w:rsid w:val="000C2ACF"/>
  </w:style>
  <w:style w:type="paragraph" w:customStyle="1" w:styleId="Standard">
    <w:name w:val="Standard"/>
    <w:qFormat/>
    <w:rsid w:val="000C2ACF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0C2ACF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0C2ACF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0C2ACF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2014-07-07T20:32:00Z</cp:lastPrinted>
  <dcterms:created xsi:type="dcterms:W3CDTF">2020-10-10T21:55:00Z</dcterms:created>
  <dcterms:modified xsi:type="dcterms:W3CDTF">2022-05-23T09:14:00Z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