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spacing w:line="560" w:lineRule="exact"/>
        <w:ind w:firstLine="662" w:firstLineChars="207"/>
        <w:rPr>
          <w:sz w:val="32"/>
          <w:szCs w:val="32"/>
        </w:rPr>
      </w:pPr>
    </w:p>
    <w:p>
      <w:pPr>
        <w:pStyle w:val="12"/>
        <w:spacing w:line="560" w:lineRule="exact"/>
        <w:ind w:firstLine="662" w:firstLineChars="207"/>
        <w:rPr>
          <w:sz w:val="32"/>
          <w:szCs w:val="32"/>
        </w:rPr>
      </w:pPr>
    </w:p>
    <w:p>
      <w:pPr>
        <w:pStyle w:val="12"/>
        <w:spacing w:line="560" w:lineRule="exact"/>
        <w:ind w:firstLine="662" w:firstLineChars="207"/>
        <w:rPr>
          <w:sz w:val="32"/>
          <w:szCs w:val="32"/>
        </w:rPr>
      </w:pPr>
    </w:p>
    <w:p>
      <w:pPr>
        <w:spacing w:line="360" w:lineRule="auto"/>
        <w:jc w:val="center"/>
        <w:rPr>
          <w:rFonts w:ascii="仿宋_GB2312"/>
        </w:rPr>
      </w:pPr>
    </w:p>
    <w:p>
      <w:pPr>
        <w:autoSpaceDE w:val="0"/>
        <w:autoSpaceDN w:val="0"/>
        <w:jc w:val="center"/>
        <w:rPr>
          <w:rFonts w:ascii="Times New Roman" w:hAnsi="Times New Roman"/>
        </w:rPr>
      </w:pPr>
      <w:r>
        <w:rPr>
          <w:rFonts w:hint="eastAsia" w:ascii="Times New Roman" w:hAnsi="Times New Roman"/>
          <w:lang w:val="zh-CN"/>
        </w:rPr>
        <w:t xml:space="preserve">津滨审批二室准〔2024〕71号 </w:t>
      </w:r>
      <w:bookmarkStart w:id="0" w:name="_GoBack"/>
      <w:bookmarkEnd w:id="0"/>
    </w:p>
    <w:p>
      <w:pPr>
        <w:pStyle w:val="12"/>
        <w:spacing w:line="560" w:lineRule="exact"/>
        <w:jc w:val="center"/>
        <w:rPr>
          <w:rFonts w:eastAsia="方正小标宋简体"/>
          <w:color w:val="000000"/>
          <w:sz w:val="44"/>
        </w:rPr>
      </w:pPr>
    </w:p>
    <w:p>
      <w:pPr>
        <w:pStyle w:val="12"/>
        <w:spacing w:line="600" w:lineRule="exact"/>
        <w:jc w:val="center"/>
        <w:rPr>
          <w:rFonts w:eastAsia="方正小标宋简体"/>
          <w:color w:val="000000"/>
          <w:sz w:val="44"/>
        </w:rPr>
      </w:pPr>
      <w:r>
        <w:rPr>
          <w:rFonts w:hint="eastAsia" w:eastAsia="方正小标宋简体"/>
          <w:color w:val="000000"/>
          <w:sz w:val="44"/>
        </w:rPr>
        <w:t>关于中化天津港石化仓储有限公司作业品种</w:t>
      </w:r>
    </w:p>
    <w:p>
      <w:pPr>
        <w:pStyle w:val="12"/>
        <w:spacing w:line="600" w:lineRule="exact"/>
        <w:jc w:val="center"/>
        <w:rPr>
          <w:rFonts w:eastAsia="方正小标宋简体"/>
          <w:color w:val="000000"/>
          <w:sz w:val="44"/>
        </w:rPr>
      </w:pPr>
      <w:r>
        <w:rPr>
          <w:rFonts w:hint="eastAsia" w:eastAsia="方正小标宋简体"/>
          <w:color w:val="000000"/>
          <w:sz w:val="44"/>
        </w:rPr>
        <w:t>增项项目</w:t>
      </w:r>
      <w:r>
        <w:rPr>
          <w:rFonts w:eastAsia="方正小标宋简体"/>
          <w:color w:val="000000"/>
          <w:sz w:val="44"/>
        </w:rPr>
        <w:t>环境影响报告表的批复</w:t>
      </w:r>
    </w:p>
    <w:p>
      <w:pPr>
        <w:pStyle w:val="12"/>
        <w:spacing w:line="560" w:lineRule="exact"/>
        <w:jc w:val="both"/>
        <w:rPr>
          <w:sz w:val="32"/>
          <w:szCs w:val="32"/>
        </w:rPr>
      </w:pPr>
    </w:p>
    <w:p>
      <w:pPr>
        <w:pStyle w:val="12"/>
        <w:spacing w:line="560" w:lineRule="exact"/>
        <w:jc w:val="both"/>
        <w:rPr>
          <w:sz w:val="32"/>
          <w:szCs w:val="32"/>
        </w:rPr>
      </w:pPr>
      <w:r>
        <w:rPr>
          <w:rFonts w:hint="eastAsia"/>
          <w:sz w:val="32"/>
          <w:szCs w:val="32"/>
        </w:rPr>
        <w:t>中化天津港石化仓储有限公司</w:t>
      </w:r>
      <w:r>
        <w:rPr>
          <w:sz w:val="32"/>
          <w:szCs w:val="32"/>
        </w:rPr>
        <w:t>：</w:t>
      </w:r>
    </w:p>
    <w:p>
      <w:pPr>
        <w:pStyle w:val="12"/>
        <w:spacing w:line="560" w:lineRule="exact"/>
        <w:ind w:firstLine="662" w:firstLineChars="207"/>
        <w:rPr>
          <w:sz w:val="32"/>
          <w:szCs w:val="32"/>
        </w:rPr>
      </w:pPr>
      <w:r>
        <w:rPr>
          <w:sz w:val="32"/>
          <w:szCs w:val="32"/>
        </w:rPr>
        <w:t>你公司提交的《关于报批</w:t>
      </w:r>
      <w:r>
        <w:rPr>
          <w:rFonts w:hint="eastAsia"/>
          <w:sz w:val="32"/>
          <w:szCs w:val="32"/>
        </w:rPr>
        <w:t>中化天津港石化仓储有限公司作业品种增项项目</w:t>
      </w:r>
      <w:r>
        <w:rPr>
          <w:sz w:val="32"/>
          <w:szCs w:val="32"/>
        </w:rPr>
        <w:t>环境影响报告表的</w:t>
      </w:r>
      <w:r>
        <w:rPr>
          <w:rFonts w:hint="eastAsia"/>
          <w:sz w:val="32"/>
          <w:szCs w:val="32"/>
        </w:rPr>
        <w:t>请示</w:t>
      </w:r>
      <w:r>
        <w:rPr>
          <w:sz w:val="32"/>
          <w:szCs w:val="32"/>
        </w:rPr>
        <w:t>》、天津潮生环保科技有限公司《</w:t>
      </w:r>
      <w:r>
        <w:rPr>
          <w:rFonts w:hint="eastAsia"/>
          <w:sz w:val="32"/>
          <w:szCs w:val="32"/>
        </w:rPr>
        <w:t>中化天津港石化仓储有限公司作业品种增项项目</w:t>
      </w:r>
      <w:r>
        <w:rPr>
          <w:sz w:val="32"/>
          <w:szCs w:val="32"/>
        </w:rPr>
        <w:t>环境影响报告表》及相关材料收悉。经研究，现批复如下：</w:t>
      </w:r>
    </w:p>
    <w:p>
      <w:pPr>
        <w:pStyle w:val="12"/>
        <w:spacing w:line="560" w:lineRule="exact"/>
        <w:ind w:firstLine="662" w:firstLineChars="207"/>
        <w:rPr>
          <w:bCs/>
          <w:sz w:val="32"/>
          <w:szCs w:val="32"/>
        </w:rPr>
      </w:pPr>
      <w:r>
        <w:rPr>
          <w:rFonts w:hint="eastAsia"/>
          <w:sz w:val="32"/>
          <w:szCs w:val="32"/>
        </w:rPr>
        <w:t>一、你公司拟于</w:t>
      </w:r>
      <w:r>
        <w:rPr>
          <w:bCs/>
          <w:sz w:val="32"/>
          <w:szCs w:val="32"/>
        </w:rPr>
        <w:t>天津港南疆港区南航路3262号</w:t>
      </w:r>
      <w:r>
        <w:rPr>
          <w:rFonts w:hint="eastAsia"/>
          <w:bCs/>
          <w:sz w:val="32"/>
          <w:szCs w:val="32"/>
        </w:rPr>
        <w:t>现有厂区</w:t>
      </w:r>
      <w:r>
        <w:rPr>
          <w:rFonts w:hint="eastAsia"/>
          <w:sz w:val="32"/>
          <w:szCs w:val="32"/>
        </w:rPr>
        <w:t>建设“中化天津港石化仓储有限公司作业品种增项项目”（以下简称“项目”）。项目</w:t>
      </w:r>
      <w:r>
        <w:rPr>
          <w:rFonts w:hint="eastAsia"/>
          <w:bCs/>
          <w:sz w:val="32"/>
          <w:szCs w:val="32"/>
        </w:rPr>
        <w:t>对现有批复仓储货种进行调整，保留原有货种17中，新增14种；调整后货种种类为31种。其中，新增货种为：轻质燃料油、脂肪酸甲酯，石蜡，餐厨废油，白油，棕榈脂肪酸，棕榈酸化油，棕榈油，脂肪酸，动物脂肪酸，棕榈脂肪酸馏出物，棕榈仁脂肪酸馏出物，棕榈油脂肪酸甲酯，工业级混合油；原有保留货种为：</w:t>
      </w:r>
      <w:r>
        <w:rPr>
          <w:bCs/>
          <w:sz w:val="32"/>
          <w:szCs w:val="32"/>
        </w:rPr>
        <w:t>汽油、柴油、混合芳烃、生物柴油、凝析油、轻循环油、溶剂油（闭杯闪点＞60</w:t>
      </w:r>
      <w:r>
        <w:rPr>
          <w:rFonts w:hint="eastAsia" w:ascii="宋体" w:hAnsi="宋体" w:eastAsia="宋体" w:cs="宋体"/>
          <w:bCs/>
          <w:sz w:val="32"/>
          <w:szCs w:val="32"/>
        </w:rPr>
        <w:t>℃</w:t>
      </w:r>
      <w:r>
        <w:rPr>
          <w:bCs/>
          <w:sz w:val="32"/>
          <w:szCs w:val="32"/>
        </w:rPr>
        <w:t>）</w:t>
      </w:r>
      <w:r>
        <w:rPr>
          <w:rFonts w:hint="eastAsia"/>
          <w:bCs/>
          <w:sz w:val="32"/>
          <w:szCs w:val="32"/>
        </w:rPr>
        <w:t>、原油、燃料油、乙二醇、邻二甲苯、甲苯、甲醇、乙醇、煤焦油、基础油、对二甲苯。</w:t>
      </w:r>
    </w:p>
    <w:p>
      <w:pPr>
        <w:pStyle w:val="12"/>
        <w:spacing w:line="560" w:lineRule="exact"/>
        <w:ind w:firstLine="662" w:firstLineChars="207"/>
        <w:rPr>
          <w:bCs/>
          <w:sz w:val="32"/>
          <w:szCs w:val="32"/>
        </w:rPr>
      </w:pPr>
      <w:r>
        <w:rPr>
          <w:rFonts w:hint="eastAsia"/>
          <w:bCs/>
          <w:sz w:val="32"/>
          <w:szCs w:val="32"/>
        </w:rPr>
        <w:t>项目新增轻质燃料油由厂区成品油罐区（一）、（二）进行储存。项目对化工品罐区（五）进行改造，改造后用于存储生物柴油及除轻质燃料油外的其他13种新增货种。</w:t>
      </w:r>
    </w:p>
    <w:p>
      <w:pPr>
        <w:pStyle w:val="12"/>
        <w:spacing w:line="560" w:lineRule="exact"/>
        <w:ind w:firstLine="662" w:firstLineChars="207"/>
        <w:rPr>
          <w:bCs/>
          <w:sz w:val="32"/>
          <w:szCs w:val="32"/>
        </w:rPr>
      </w:pPr>
      <w:r>
        <w:rPr>
          <w:rFonts w:hint="eastAsia"/>
          <w:sz w:val="32"/>
          <w:szCs w:val="32"/>
        </w:rPr>
        <w:t>项目实施后，你公司</w:t>
      </w:r>
      <w:r>
        <w:rPr>
          <w:sz w:val="32"/>
          <w:szCs w:val="32"/>
        </w:rPr>
        <w:t>库区总库容</w:t>
      </w:r>
      <w:r>
        <w:rPr>
          <w:rFonts w:hint="eastAsia"/>
          <w:sz w:val="32"/>
          <w:szCs w:val="32"/>
        </w:rPr>
        <w:t>不变，仍为</w:t>
      </w:r>
      <w:r>
        <w:rPr>
          <w:rFonts w:hint="eastAsia"/>
          <w:bCs/>
          <w:sz w:val="32"/>
          <w:szCs w:val="32"/>
        </w:rPr>
        <w:t>96.03</w:t>
      </w:r>
      <w:r>
        <w:rPr>
          <w:sz w:val="32"/>
          <w:szCs w:val="32"/>
        </w:rPr>
        <w:t>万立方米</w:t>
      </w:r>
      <w:r>
        <w:rPr>
          <w:rFonts w:hint="eastAsia"/>
          <w:sz w:val="32"/>
          <w:szCs w:val="32"/>
        </w:rPr>
        <w:t>；</w:t>
      </w:r>
      <w:r>
        <w:rPr>
          <w:sz w:val="32"/>
          <w:szCs w:val="32"/>
        </w:rPr>
        <w:t>总周转量</w:t>
      </w:r>
      <w:r>
        <w:rPr>
          <w:rFonts w:hint="eastAsia"/>
          <w:sz w:val="32"/>
          <w:szCs w:val="32"/>
        </w:rPr>
        <w:t>不变，仍为年</w:t>
      </w:r>
      <w:r>
        <w:rPr>
          <w:sz w:val="32"/>
          <w:szCs w:val="32"/>
        </w:rPr>
        <w:t>周转</w:t>
      </w:r>
      <w:r>
        <w:rPr>
          <w:rFonts w:hint="eastAsia"/>
          <w:bCs/>
          <w:sz w:val="32"/>
          <w:szCs w:val="32"/>
        </w:rPr>
        <w:t>449.4</w:t>
      </w:r>
      <w:r>
        <w:rPr>
          <w:sz w:val="32"/>
          <w:szCs w:val="32"/>
        </w:rPr>
        <w:t>万吨</w:t>
      </w:r>
      <w:r>
        <w:rPr>
          <w:rFonts w:hint="eastAsia"/>
          <w:sz w:val="32"/>
          <w:szCs w:val="32"/>
        </w:rPr>
        <w:t>。</w:t>
      </w:r>
    </w:p>
    <w:p>
      <w:pPr>
        <w:pStyle w:val="12"/>
        <w:spacing w:line="560" w:lineRule="exact"/>
        <w:ind w:firstLine="640" w:firstLineChars="200"/>
        <w:rPr>
          <w:sz w:val="32"/>
          <w:szCs w:val="32"/>
        </w:rPr>
      </w:pPr>
      <w:r>
        <w:rPr>
          <w:sz w:val="32"/>
          <w:szCs w:val="32"/>
        </w:rPr>
        <w:t>202</w:t>
      </w:r>
      <w:r>
        <w:rPr>
          <w:rFonts w:hint="eastAsia"/>
          <w:sz w:val="32"/>
          <w:szCs w:val="32"/>
        </w:rPr>
        <w:t>4</w:t>
      </w:r>
      <w:r>
        <w:rPr>
          <w:sz w:val="32"/>
          <w:szCs w:val="32"/>
        </w:rPr>
        <w:t>年</w:t>
      </w:r>
      <w:r>
        <w:rPr>
          <w:rFonts w:hint="eastAsia"/>
          <w:sz w:val="32"/>
          <w:szCs w:val="32"/>
        </w:rPr>
        <w:t>1</w:t>
      </w:r>
      <w:r>
        <w:rPr>
          <w:sz w:val="32"/>
          <w:szCs w:val="32"/>
        </w:rPr>
        <w:t>月</w:t>
      </w:r>
      <w:r>
        <w:rPr>
          <w:rFonts w:hint="eastAsia"/>
          <w:sz w:val="32"/>
          <w:szCs w:val="32"/>
        </w:rPr>
        <w:t>9</w:t>
      </w:r>
      <w:r>
        <w:rPr>
          <w:sz w:val="32"/>
          <w:szCs w:val="32"/>
        </w:rPr>
        <w:t>日至</w:t>
      </w:r>
      <w:r>
        <w:rPr>
          <w:rFonts w:hint="eastAsia"/>
          <w:sz w:val="32"/>
          <w:szCs w:val="32"/>
        </w:rPr>
        <w:t>1</w:t>
      </w:r>
      <w:r>
        <w:rPr>
          <w:sz w:val="32"/>
          <w:szCs w:val="32"/>
        </w:rPr>
        <w:t>月</w:t>
      </w:r>
      <w:r>
        <w:rPr>
          <w:rFonts w:hint="eastAsia"/>
          <w:sz w:val="32"/>
          <w:szCs w:val="32"/>
        </w:rPr>
        <w:t>15</w:t>
      </w:r>
      <w:r>
        <w:rPr>
          <w:sz w:val="32"/>
          <w:szCs w:val="32"/>
        </w:rPr>
        <w:t>日，我局将该项目受理情况进行公示；</w:t>
      </w:r>
      <w:r>
        <w:rPr>
          <w:rFonts w:hint="eastAsia"/>
          <w:sz w:val="32"/>
          <w:szCs w:val="32"/>
        </w:rPr>
        <w:t>1</w:t>
      </w:r>
      <w:r>
        <w:rPr>
          <w:sz w:val="32"/>
          <w:szCs w:val="32"/>
        </w:rPr>
        <w:t>月</w:t>
      </w:r>
      <w:r>
        <w:rPr>
          <w:rFonts w:hint="eastAsia"/>
          <w:sz w:val="32"/>
          <w:szCs w:val="32"/>
        </w:rPr>
        <w:t>24</w:t>
      </w:r>
      <w:r>
        <w:rPr>
          <w:sz w:val="32"/>
          <w:szCs w:val="32"/>
        </w:rPr>
        <w:t>日至</w:t>
      </w:r>
      <w:r>
        <w:rPr>
          <w:rFonts w:hint="eastAsia"/>
          <w:sz w:val="32"/>
          <w:szCs w:val="32"/>
        </w:rPr>
        <w:t>1</w:t>
      </w:r>
      <w:r>
        <w:rPr>
          <w:sz w:val="32"/>
          <w:szCs w:val="32"/>
        </w:rPr>
        <w:t>月</w:t>
      </w:r>
      <w:r>
        <w:rPr>
          <w:rFonts w:hint="eastAsia"/>
          <w:sz w:val="32"/>
          <w:szCs w:val="32"/>
        </w:rPr>
        <w:t>30</w:t>
      </w:r>
      <w:r>
        <w:rPr>
          <w:sz w:val="32"/>
          <w:szCs w:val="32"/>
        </w:rPr>
        <w:t>日，将该项目拟批复情况进行公示；根据公众反馈意见情况及环评报告结论，在严格落实环评报告所提出的各项污染防治措施、确保各类污染物稳定达标的前提下</w:t>
      </w:r>
      <w:r>
        <w:rPr>
          <w:rFonts w:hint="eastAsia"/>
          <w:sz w:val="32"/>
          <w:szCs w:val="32"/>
        </w:rPr>
        <w:t>，</w:t>
      </w:r>
      <w:r>
        <w:rPr>
          <w:sz w:val="32"/>
          <w:szCs w:val="32"/>
        </w:rPr>
        <w:t>同意该工程建设。</w:t>
      </w:r>
    </w:p>
    <w:p>
      <w:pPr>
        <w:spacing w:line="560" w:lineRule="exact"/>
        <w:ind w:firstLine="640" w:firstLineChars="200"/>
        <w:rPr>
          <w:rFonts w:ascii="Times New Roman"/>
        </w:rPr>
      </w:pPr>
      <w:r>
        <w:rPr>
          <w:rFonts w:hint="eastAsia" w:ascii="Times New Roman"/>
        </w:rPr>
        <w:t>二</w:t>
      </w:r>
      <w:r>
        <w:rPr>
          <w:rFonts w:ascii="Times New Roman"/>
        </w:rPr>
        <w:t>、</w:t>
      </w:r>
      <w:r>
        <w:rPr>
          <w:rFonts w:hint="eastAsia" w:ascii="Times New Roman"/>
        </w:rPr>
        <w:t>项目运营</w:t>
      </w:r>
      <w:r>
        <w:rPr>
          <w:rFonts w:ascii="Times New Roman"/>
        </w:rPr>
        <w:t>过程中，你公司应重点做好以下工作：</w:t>
      </w:r>
    </w:p>
    <w:p>
      <w:pPr>
        <w:spacing w:line="560" w:lineRule="exact"/>
        <w:ind w:firstLine="640" w:firstLineChars="200"/>
        <w:rPr>
          <w:rFonts w:ascii="Times New Roman"/>
          <w:bCs/>
        </w:rPr>
      </w:pPr>
      <w:r>
        <w:rPr>
          <w:rFonts w:ascii="Times New Roman"/>
        </w:rPr>
        <w:t>1、</w:t>
      </w:r>
      <w:r>
        <w:rPr>
          <w:rFonts w:hint="eastAsia" w:ascii="Times New Roman"/>
        </w:rPr>
        <w:t>项目</w:t>
      </w:r>
      <w:r>
        <w:rPr>
          <w:rFonts w:hint="eastAsia" w:ascii="Times New Roman"/>
          <w:bCs/>
        </w:rPr>
        <w:t>新增货种装车过程产生的废气引至现有 “冷凝+活性炭吸附” 装置（TA003）处理后，通过现有1根15m高排气筒（DA005）达标排放。项目燃油锅炉配置了低氮燃烧器，燃烧废气经现有1根30m高排气筒（DA001）达标排放。</w:t>
      </w:r>
    </w:p>
    <w:p>
      <w:pPr>
        <w:spacing w:line="560" w:lineRule="exact"/>
        <w:ind w:firstLine="640" w:firstLineChars="200"/>
      </w:pPr>
      <w:r>
        <w:rPr>
          <w:rFonts w:hint="eastAsia"/>
        </w:rPr>
        <w:t>采取有效措施，减少废气无组织排放，防止</w:t>
      </w:r>
      <w:r>
        <w:rPr>
          <w:bCs/>
        </w:rPr>
        <w:t>非甲烷总烃</w:t>
      </w:r>
      <w:r>
        <w:rPr>
          <w:rFonts w:hint="eastAsia"/>
          <w:bCs/>
        </w:rPr>
        <w:t>、</w:t>
      </w:r>
      <w:r>
        <w:rPr>
          <w:bCs/>
        </w:rPr>
        <w:t>臭气浓度</w:t>
      </w:r>
      <w:r>
        <w:rPr>
          <w:rFonts w:hint="eastAsia"/>
        </w:rPr>
        <w:t>无组织排放对周边环境影响产生影响，确保达标排放。</w:t>
      </w:r>
    </w:p>
    <w:p>
      <w:pPr>
        <w:spacing w:line="560" w:lineRule="exact"/>
        <w:ind w:firstLine="640" w:firstLineChars="200"/>
        <w:rPr>
          <w:color w:val="000000" w:themeColor="text1"/>
        </w:rPr>
      </w:pPr>
      <w:r>
        <w:rPr>
          <w:rFonts w:hint="eastAsia" w:ascii="Times New Roman"/>
        </w:rPr>
        <w:t>2</w:t>
      </w:r>
      <w:r>
        <w:rPr>
          <w:rFonts w:ascii="Times New Roman"/>
        </w:rPr>
        <w:t>、</w:t>
      </w:r>
      <w:r>
        <w:rPr>
          <w:rFonts w:hint="eastAsia" w:ascii="Times New Roman"/>
        </w:rPr>
        <w:t>项目实施后，厂区内</w:t>
      </w:r>
      <w:r>
        <w:rPr>
          <w:rFonts w:hint="eastAsia"/>
          <w:color w:val="000000" w:themeColor="text1"/>
        </w:rPr>
        <w:t>初期雨水、原油切水、洗罐废水、锅炉排水等经隔油沉淀后汇同生活污水一并进入厂内污水处理站处理，由废水总排口达标排入通过市政管网，最终排至天津港南疆污水处理厂。</w:t>
      </w:r>
    </w:p>
    <w:p>
      <w:pPr>
        <w:spacing w:line="560" w:lineRule="exact"/>
        <w:ind w:firstLine="640" w:firstLineChars="200"/>
        <w:rPr>
          <w:rFonts w:ascii="Times New Roman"/>
        </w:rPr>
      </w:pPr>
      <w:r>
        <w:rPr>
          <w:rFonts w:hint="eastAsia" w:ascii="Times New Roman"/>
        </w:rPr>
        <w:t>3、</w:t>
      </w:r>
      <w:r>
        <w:rPr>
          <w:rFonts w:ascii="Times New Roman"/>
        </w:rPr>
        <w:t>合理布局，选用低噪声设备，对产噪设备实施减振、消声、隔声等措施，确保厂界噪声达标。</w:t>
      </w:r>
    </w:p>
    <w:p>
      <w:pPr>
        <w:spacing w:line="560" w:lineRule="exact"/>
        <w:ind w:firstLine="640" w:firstLineChars="200"/>
        <w:rPr>
          <w:rFonts w:ascii="Times New Roman"/>
        </w:rPr>
      </w:pPr>
      <w:r>
        <w:rPr>
          <w:rFonts w:hint="eastAsia" w:ascii="Times New Roman"/>
        </w:rPr>
        <w:t>4、做好各类固体废物的收集、贮存、运输和处置，做到资源化、减量化、无害化。项目实施后，厂内产生的沾染废物、清罐底泥、废包装容器、试验检验废液、污水处理污泥、废活性炭、高浓度洗罐废水等危险废物交由资质单位进行处理处置；以上危险废物需按照《危险废物收集 贮存 运输技术规范》（</w:t>
      </w:r>
      <w:r>
        <w:rPr>
          <w:rFonts w:ascii="Times New Roman"/>
        </w:rPr>
        <w:t>HJ2025-2012</w:t>
      </w:r>
      <w:r>
        <w:rPr>
          <w:rFonts w:hint="eastAsia" w:ascii="Times New Roman"/>
        </w:rPr>
        <w:t>）进行收集、贮存及运输；危险废物暂存库应按照《危险废物贮存污染控制标准》（</w:t>
      </w:r>
      <w:r>
        <w:rPr>
          <w:rFonts w:ascii="Times New Roman"/>
        </w:rPr>
        <w:t>GB18597-20</w:t>
      </w:r>
      <w:r>
        <w:rPr>
          <w:rFonts w:hint="eastAsia" w:ascii="Times New Roman"/>
        </w:rPr>
        <w:t>23）进行建设和管理。</w:t>
      </w:r>
    </w:p>
    <w:p>
      <w:pPr>
        <w:spacing w:line="560" w:lineRule="exact"/>
        <w:ind w:firstLine="640" w:firstLineChars="200"/>
        <w:rPr>
          <w:rFonts w:ascii="Times New Roman"/>
        </w:rPr>
      </w:pPr>
      <w:r>
        <w:rPr>
          <w:rFonts w:hint="eastAsia" w:ascii="Times New Roman"/>
        </w:rPr>
        <w:t>5、根据“源头控制、分区防治、污染监控、应急响应</w:t>
      </w:r>
      <w:r>
        <w:rPr>
          <w:rFonts w:ascii="Times New Roman"/>
        </w:rPr>
        <w:t>”</w:t>
      </w:r>
      <w:r>
        <w:rPr>
          <w:rFonts w:hint="eastAsia" w:ascii="Times New Roman"/>
        </w:rPr>
        <w:t>的原则，按照报告要求采取严格的防渗、防泄漏、防腐蚀等措施，严禁对地下水、土壤产生影响。</w:t>
      </w:r>
    </w:p>
    <w:p>
      <w:pPr>
        <w:spacing w:line="560" w:lineRule="exact"/>
        <w:ind w:firstLine="640" w:firstLineChars="200"/>
        <w:rPr>
          <w:rFonts w:ascii="Times New Roman"/>
        </w:rPr>
      </w:pPr>
      <w:r>
        <w:rPr>
          <w:rFonts w:hint="eastAsia" w:ascii="Times New Roman"/>
        </w:rPr>
        <w:t>6、严格落实报告表中的各项事故防范及应急处理措施，做好环境风险事故应急预案的修订与备案工作，强化日常管理，做好风险事故防范措施及应急处理措施的合理衔接工作，杜绝发生环境事故和次生环境事故，防止事故造成的环境污染。</w:t>
      </w:r>
    </w:p>
    <w:p>
      <w:pPr>
        <w:spacing w:line="560" w:lineRule="exact"/>
        <w:ind w:firstLine="630"/>
        <w:rPr>
          <w:rFonts w:ascii="Times New Roman"/>
          <w:color w:val="FF0000"/>
        </w:rPr>
      </w:pPr>
      <w:r>
        <w:rPr>
          <w:rFonts w:hint="eastAsia"/>
        </w:rPr>
        <w:t>7、落实报告书提出的环境监测计划，定期开展监测工作。</w:t>
      </w:r>
    </w:p>
    <w:p>
      <w:pPr>
        <w:spacing w:line="560" w:lineRule="exact"/>
        <w:ind w:firstLine="640" w:firstLineChars="200"/>
      </w:pPr>
      <w:r>
        <w:rPr>
          <w:rFonts w:hint="eastAsia"/>
        </w:rPr>
        <w:t>三、本项目不新增主要污染物排放总量。</w:t>
      </w:r>
    </w:p>
    <w:p>
      <w:pPr>
        <w:spacing w:line="560" w:lineRule="exact"/>
        <w:ind w:firstLine="640" w:firstLineChars="200"/>
        <w:rPr>
          <w:rFonts w:ascii="Times New Roman"/>
        </w:rPr>
      </w:pPr>
      <w:r>
        <w:rPr>
          <w:rFonts w:hint="eastAsia" w:ascii="Times New Roman"/>
        </w:rPr>
        <w:t>四、</w:t>
      </w:r>
      <w:r>
        <w:rPr>
          <w:rFonts w:ascii="Times New Roman"/>
        </w:rPr>
        <w:t>项目建设应严格执行环境保护设施与主体工程同时设计、同时施工、同时投产使用的“三同时”管理制度。项目</w:t>
      </w:r>
      <w:r>
        <w:rPr>
          <w:rFonts w:hint="eastAsia" w:ascii="Times New Roman"/>
        </w:rPr>
        <w:t>应</w:t>
      </w:r>
      <w:r>
        <w:rPr>
          <w:rFonts w:ascii="Times New Roman"/>
        </w:rPr>
        <w:t>按规定</w:t>
      </w:r>
      <w:r>
        <w:rPr>
          <w:rFonts w:hint="eastAsia" w:ascii="Times New Roman"/>
        </w:rPr>
        <w:t>标准和</w:t>
      </w:r>
      <w:r>
        <w:rPr>
          <w:rFonts w:ascii="Times New Roman"/>
        </w:rPr>
        <w:t>程序</w:t>
      </w:r>
      <w:r>
        <w:rPr>
          <w:rFonts w:hint="eastAsia" w:ascii="Times New Roman"/>
        </w:rPr>
        <w:t>开展</w:t>
      </w:r>
      <w:r>
        <w:rPr>
          <w:rFonts w:ascii="Times New Roman"/>
        </w:rPr>
        <w:t>环境保护验收，经验收合格后方可正式投入运营。</w:t>
      </w:r>
    </w:p>
    <w:p>
      <w:pPr>
        <w:spacing w:line="560" w:lineRule="exact"/>
        <w:ind w:firstLine="640" w:firstLineChars="200"/>
        <w:rPr>
          <w:rFonts w:ascii="Times New Roman"/>
        </w:rPr>
      </w:pPr>
      <w:r>
        <w:rPr>
          <w:rFonts w:hint="eastAsia" w:ascii="Times New Roman"/>
        </w:rPr>
        <w:t>五</w:t>
      </w:r>
      <w:r>
        <w:rPr>
          <w:rFonts w:ascii="Times New Roman"/>
        </w:rPr>
        <w:t>、若建设</w:t>
      </w:r>
      <w:r>
        <w:rPr>
          <w:rFonts w:hint="eastAsia" w:ascii="Times New Roman"/>
        </w:rPr>
        <w:t>项目</w:t>
      </w:r>
      <w:r>
        <w:rPr>
          <w:rFonts w:ascii="Times New Roman"/>
        </w:rPr>
        <w:t>发生重大变动，</w:t>
      </w:r>
      <w:r>
        <w:rPr>
          <w:rFonts w:hint="eastAsia" w:ascii="Times New Roman"/>
        </w:rPr>
        <w:t>需</w:t>
      </w:r>
      <w:r>
        <w:rPr>
          <w:rFonts w:ascii="Times New Roman"/>
        </w:rPr>
        <w:t>重新报批建设</w:t>
      </w:r>
      <w:r>
        <w:rPr>
          <w:rFonts w:hint="eastAsia" w:ascii="Times New Roman"/>
        </w:rPr>
        <w:t>项目</w:t>
      </w:r>
      <w:r>
        <w:rPr>
          <w:rFonts w:ascii="Times New Roman"/>
        </w:rPr>
        <w:t>的环境影响评价文件。</w:t>
      </w:r>
    </w:p>
    <w:p>
      <w:pPr>
        <w:spacing w:line="560" w:lineRule="exact"/>
        <w:ind w:firstLine="640" w:firstLineChars="200"/>
        <w:rPr>
          <w:rFonts w:ascii="Times New Roman"/>
        </w:rPr>
      </w:pPr>
      <w:r>
        <w:rPr>
          <w:rFonts w:hint="eastAsia" w:ascii="Times New Roman"/>
        </w:rPr>
        <w:t>六、你公司在项目投入试生产之前应按照法律法规要求做好排污许可管理相关工作。</w:t>
      </w:r>
    </w:p>
    <w:p>
      <w:pPr>
        <w:pStyle w:val="12"/>
        <w:spacing w:line="560" w:lineRule="exact"/>
        <w:ind w:firstLine="662" w:firstLineChars="207"/>
        <w:rPr>
          <w:sz w:val="32"/>
          <w:szCs w:val="32"/>
        </w:rPr>
      </w:pPr>
      <w:r>
        <w:rPr>
          <w:rFonts w:hint="eastAsia"/>
          <w:sz w:val="32"/>
          <w:szCs w:val="32"/>
        </w:rPr>
        <w:t>七</w:t>
      </w:r>
      <w:r>
        <w:rPr>
          <w:sz w:val="32"/>
          <w:szCs w:val="32"/>
        </w:rPr>
        <w:t>、项目应执行以下</w:t>
      </w:r>
      <w:r>
        <w:rPr>
          <w:rFonts w:hint="eastAsia"/>
          <w:sz w:val="32"/>
          <w:szCs w:val="32"/>
        </w:rPr>
        <w:t>环境</w:t>
      </w:r>
      <w:r>
        <w:rPr>
          <w:sz w:val="32"/>
          <w:szCs w:val="32"/>
        </w:rPr>
        <w:t>标准：</w:t>
      </w:r>
    </w:p>
    <w:p>
      <w:pPr>
        <w:spacing w:line="560" w:lineRule="exact"/>
        <w:ind w:firstLine="640" w:firstLineChars="200"/>
        <w:rPr>
          <w:rFonts w:ascii="Times New Roman"/>
        </w:rPr>
      </w:pPr>
      <w:r>
        <w:rPr>
          <w:rFonts w:ascii="Times New Roman" w:hAnsi="Times New Roman"/>
        </w:rPr>
        <w:t>1</w:t>
      </w:r>
      <w:r>
        <w:rPr>
          <w:rFonts w:ascii="Times New Roman"/>
        </w:rPr>
        <w:t>、《环境空气质量标准》（</w:t>
      </w:r>
      <w:r>
        <w:rPr>
          <w:rFonts w:ascii="Times New Roman" w:hAnsi="Times New Roman"/>
        </w:rPr>
        <w:t>GB3095-1996</w:t>
      </w:r>
      <w:r>
        <w:rPr>
          <w:rFonts w:ascii="Times New Roman"/>
        </w:rPr>
        <w:t>）二级；</w:t>
      </w:r>
    </w:p>
    <w:p>
      <w:pPr>
        <w:spacing w:line="560" w:lineRule="exact"/>
        <w:ind w:firstLine="640" w:firstLineChars="200"/>
        <w:rPr>
          <w:rFonts w:ascii="Times New Roman"/>
        </w:rPr>
      </w:pPr>
      <w:r>
        <w:rPr>
          <w:rFonts w:hint="eastAsia" w:ascii="Times New Roman"/>
        </w:rPr>
        <w:t>2、《大气污染物综合排放标准详解》；</w:t>
      </w:r>
    </w:p>
    <w:p>
      <w:pPr>
        <w:spacing w:line="560" w:lineRule="exact"/>
        <w:ind w:firstLine="640" w:firstLineChars="200"/>
        <w:rPr>
          <w:rFonts w:ascii="Times New Roman"/>
        </w:rPr>
      </w:pPr>
      <w:r>
        <w:rPr>
          <w:rFonts w:hint="eastAsia" w:ascii="Times New Roman"/>
        </w:rPr>
        <w:t>3</w:t>
      </w:r>
      <w:r>
        <w:rPr>
          <w:rFonts w:ascii="Times New Roman"/>
        </w:rPr>
        <w:t>、《声环境质量标准》（</w:t>
      </w:r>
      <w:r>
        <w:rPr>
          <w:rFonts w:ascii="Times New Roman" w:hAnsi="Times New Roman"/>
        </w:rPr>
        <w:t>GB3096-2008</w:t>
      </w:r>
      <w:r>
        <w:rPr>
          <w:rFonts w:ascii="Times New Roman"/>
        </w:rPr>
        <w:t>）</w:t>
      </w:r>
      <w:r>
        <w:rPr>
          <w:rFonts w:hint="eastAsia" w:ascii="Times New Roman" w:hAnsi="Times New Roman"/>
        </w:rPr>
        <w:t>4a</w:t>
      </w:r>
      <w:r>
        <w:rPr>
          <w:rFonts w:ascii="Times New Roman"/>
        </w:rPr>
        <w:t>类；</w:t>
      </w:r>
    </w:p>
    <w:p>
      <w:pPr>
        <w:spacing w:line="560" w:lineRule="exact"/>
        <w:ind w:firstLine="640" w:firstLineChars="200"/>
        <w:rPr>
          <w:rFonts w:ascii="Times New Roman"/>
        </w:rPr>
      </w:pPr>
      <w:r>
        <w:rPr>
          <w:rFonts w:hint="eastAsia" w:ascii="Times New Roman"/>
        </w:rPr>
        <w:t>4、</w:t>
      </w:r>
      <w:r>
        <w:rPr>
          <w:rFonts w:ascii="Times New Roman"/>
        </w:rPr>
        <w:t>《地下水质量标准》（GB/T14848-2017）</w:t>
      </w:r>
      <w:r>
        <w:rPr>
          <w:rFonts w:hint="eastAsia" w:ascii="Times New Roman"/>
        </w:rPr>
        <w:t>；</w:t>
      </w:r>
    </w:p>
    <w:p>
      <w:pPr>
        <w:spacing w:line="560" w:lineRule="exact"/>
        <w:ind w:firstLine="640" w:firstLineChars="200"/>
        <w:rPr>
          <w:rFonts w:ascii="Times New Roman"/>
        </w:rPr>
      </w:pPr>
      <w:r>
        <w:rPr>
          <w:rFonts w:hint="eastAsia" w:ascii="Times New Roman"/>
        </w:rPr>
        <w:t>5、《地表水环境质量标准》（GB3838-2002）；</w:t>
      </w:r>
    </w:p>
    <w:p>
      <w:pPr>
        <w:spacing w:line="560" w:lineRule="exact"/>
        <w:ind w:firstLine="640" w:firstLineChars="200"/>
        <w:rPr>
          <w:color w:val="000000" w:themeColor="text1"/>
        </w:rPr>
      </w:pPr>
      <w:r>
        <w:rPr>
          <w:rFonts w:hint="eastAsia" w:ascii="Times New Roman"/>
        </w:rPr>
        <w:t>6、《土壤环境质量标准 建设用地土壤污染风险管控标准（试行）》（GB36600-2018）;</w:t>
      </w:r>
      <w:r>
        <w:rPr>
          <w:color w:val="000000" w:themeColor="text1"/>
        </w:rPr>
        <w:t xml:space="preserve"> </w:t>
      </w:r>
    </w:p>
    <w:p>
      <w:pPr>
        <w:spacing w:line="560" w:lineRule="exact"/>
        <w:ind w:firstLine="640" w:firstLineChars="200"/>
        <w:rPr>
          <w:rFonts w:ascii="Times New Roman" w:hAnsi="Times New Roman"/>
        </w:rPr>
      </w:pPr>
      <w:r>
        <w:rPr>
          <w:rFonts w:hint="eastAsia"/>
          <w:color w:val="000000" w:themeColor="text1"/>
        </w:rPr>
        <w:t>7、</w:t>
      </w:r>
      <w:r>
        <w:rPr>
          <w:color w:val="000000" w:themeColor="text1"/>
        </w:rPr>
        <w:t>《储油库大气污染物排放标准》（GB20950-2020）</w:t>
      </w:r>
      <w:r>
        <w:rPr>
          <w:rFonts w:hint="eastAsia"/>
          <w:color w:val="000000" w:themeColor="text1"/>
        </w:rPr>
        <w:t>；</w:t>
      </w:r>
    </w:p>
    <w:p>
      <w:pPr>
        <w:spacing w:line="560" w:lineRule="exact"/>
        <w:ind w:firstLine="640" w:firstLineChars="200"/>
        <w:rPr>
          <w:rFonts w:ascii="Times New Roman" w:hAnsi="Times New Roman"/>
        </w:rPr>
      </w:pPr>
      <w:r>
        <w:rPr>
          <w:rFonts w:hint="eastAsia" w:ascii="Times New Roman" w:hAnsi="Times New Roman"/>
        </w:rPr>
        <w:t>10、</w:t>
      </w:r>
      <w:r>
        <w:rPr>
          <w:rFonts w:ascii="Times New Roman" w:hAnsi="Times New Roman"/>
          <w:bCs/>
        </w:rPr>
        <w:t>《大气污染物综合排放标准》（GB16297-1996）</w:t>
      </w:r>
      <w:r>
        <w:rPr>
          <w:rFonts w:hint="eastAsia" w:ascii="Times New Roman" w:hAnsi="Times New Roman"/>
          <w:bCs/>
        </w:rPr>
        <w:t>（其中排放速率DA005与DA003等效执行）；</w:t>
      </w:r>
      <w:r>
        <w:rPr>
          <w:rFonts w:ascii="Times New Roman" w:hAnsi="Times New Roman"/>
        </w:rPr>
        <w:t xml:space="preserve"> </w:t>
      </w:r>
    </w:p>
    <w:p>
      <w:pPr>
        <w:spacing w:line="560" w:lineRule="exact"/>
        <w:ind w:firstLine="640" w:firstLineChars="200"/>
        <w:rPr>
          <w:rFonts w:ascii="Times New Roman" w:hAnsi="Times New Roman"/>
        </w:rPr>
      </w:pPr>
      <w:r>
        <w:rPr>
          <w:rFonts w:hint="eastAsia" w:ascii="Times New Roman" w:hAnsi="Times New Roman"/>
        </w:rPr>
        <w:t>11、</w:t>
      </w:r>
      <w:r>
        <w:rPr>
          <w:bCs/>
        </w:rPr>
        <w:t>《恶臭污染物排放标准》（DB12/059-2018）</w:t>
      </w:r>
      <w:r>
        <w:rPr>
          <w:rFonts w:hint="eastAsia"/>
          <w:bCs/>
        </w:rPr>
        <w:t>；</w:t>
      </w:r>
    </w:p>
    <w:p>
      <w:pPr>
        <w:spacing w:line="560" w:lineRule="exact"/>
        <w:ind w:firstLine="640" w:firstLineChars="200"/>
      </w:pPr>
      <w:r>
        <w:rPr>
          <w:rFonts w:hint="eastAsia"/>
        </w:rPr>
        <w:t>12、《锅炉大气污染物排标准》（DB12/151-2020）；</w:t>
      </w:r>
    </w:p>
    <w:p>
      <w:pPr>
        <w:spacing w:line="560" w:lineRule="exact"/>
        <w:ind w:firstLine="640" w:firstLineChars="200"/>
      </w:pPr>
      <w:r>
        <w:rPr>
          <w:rFonts w:hint="eastAsia"/>
        </w:rPr>
        <w:t>13、《挥发性有机物无组织排放控制标准》（</w:t>
      </w:r>
      <w:r>
        <w:t>GB37822-2019</w:t>
      </w:r>
      <w:r>
        <w:rPr>
          <w:rFonts w:hint="eastAsia"/>
        </w:rPr>
        <w:t>）；</w:t>
      </w:r>
    </w:p>
    <w:p>
      <w:pPr>
        <w:spacing w:line="560" w:lineRule="exact"/>
        <w:ind w:firstLine="640" w:firstLineChars="200"/>
      </w:pPr>
      <w:r>
        <w:rPr>
          <w:rFonts w:hint="eastAsia"/>
        </w:rPr>
        <w:t>14、《工业企业厂界环境噪声排放标准》（</w:t>
      </w:r>
      <w:r>
        <w:t>GB12348-2008</w:t>
      </w:r>
      <w:r>
        <w:rPr>
          <w:rFonts w:hint="eastAsia"/>
        </w:rPr>
        <w:t>）4类；</w:t>
      </w:r>
    </w:p>
    <w:p>
      <w:pPr>
        <w:spacing w:line="560" w:lineRule="exact"/>
        <w:ind w:firstLine="640" w:firstLineChars="200"/>
      </w:pPr>
      <w:r>
        <w:rPr>
          <w:rFonts w:hint="eastAsia"/>
        </w:rPr>
        <w:t>15、</w:t>
      </w:r>
      <w:r>
        <w:t>《危险废物贮存污染控制标准》（GB18597-20</w:t>
      </w:r>
      <w:r>
        <w:rPr>
          <w:rFonts w:hint="eastAsia"/>
        </w:rPr>
        <w:t>23</w:t>
      </w:r>
      <w:r>
        <w:t>）</w:t>
      </w:r>
      <w:r>
        <w:rPr>
          <w:rFonts w:hint="eastAsia"/>
        </w:rPr>
        <w:t>。</w:t>
      </w:r>
    </w:p>
    <w:p>
      <w:pPr>
        <w:spacing w:line="560" w:lineRule="exact"/>
        <w:ind w:firstLine="640" w:firstLineChars="200"/>
        <w:rPr>
          <w:rFonts w:ascii="Times New Roman"/>
        </w:rPr>
      </w:pPr>
      <w:r>
        <w:rPr>
          <w:rFonts w:ascii="Times New Roman"/>
        </w:rPr>
        <w:t>此复</w:t>
      </w:r>
    </w:p>
    <w:p>
      <w:pPr>
        <w:spacing w:line="560" w:lineRule="exact"/>
        <w:ind w:firstLine="640" w:firstLineChars="200"/>
        <w:rPr>
          <w:rFonts w:ascii="Times New Roman"/>
        </w:rPr>
      </w:pPr>
    </w:p>
    <w:p>
      <w:pPr>
        <w:tabs>
          <w:tab w:val="left" w:pos="6804"/>
          <w:tab w:val="left" w:pos="6946"/>
          <w:tab w:val="left" w:pos="7088"/>
          <w:tab w:val="left" w:pos="7230"/>
          <w:tab w:val="left" w:pos="7513"/>
          <w:tab w:val="left" w:pos="7655"/>
          <w:tab w:val="left" w:pos="7797"/>
          <w:tab w:val="left" w:pos="8222"/>
          <w:tab w:val="left" w:pos="8364"/>
          <w:tab w:val="left" w:pos="8789"/>
        </w:tabs>
        <w:spacing w:line="560" w:lineRule="exact"/>
        <w:ind w:right="640" w:firstLine="640" w:firstLineChars="200"/>
        <w:jc w:val="center"/>
      </w:pPr>
      <w:r>
        <w:rPr>
          <w:rFonts w:hint="eastAsia" w:ascii="Times New Roman" w:hAnsi="Times New Roman"/>
        </w:rPr>
        <w:t xml:space="preserve">                         2024年1月31日</w:t>
      </w:r>
    </w:p>
    <w:p>
      <w:pPr>
        <w:pStyle w:val="2"/>
        <w:tabs>
          <w:tab w:val="left" w:pos="8080"/>
        </w:tabs>
        <w:spacing w:line="560" w:lineRule="exact"/>
      </w:pPr>
    </w:p>
    <w:p>
      <w:r>
        <w:rPr>
          <w:rFonts w:eastAsia="黑体"/>
        </w:rPr>
        <w:t>主题词：</w:t>
      </w:r>
      <w:r>
        <w:t>环境影响 报告</w:t>
      </w:r>
      <w:r>
        <w:rPr>
          <w:rFonts w:hint="eastAsia"/>
        </w:rPr>
        <w:t>表</w:t>
      </w:r>
      <w:r>
        <w:t xml:space="preserve"> 批复                （共印4份）</w:t>
      </w:r>
    </w:p>
    <w:tbl>
      <w:tblPr>
        <w:tblStyle w:val="9"/>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1242"/>
        <w:gridCol w:w="3922"/>
        <w:gridCol w:w="3890"/>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1242" w:type="dxa"/>
            <w:tcBorders>
              <w:top w:val="single" w:color="auto" w:sz="8" w:space="0"/>
              <w:bottom w:val="single" w:color="auto" w:sz="8" w:space="0"/>
            </w:tcBorders>
          </w:tcPr>
          <w:p>
            <w:pPr>
              <w:ind w:right="160"/>
              <w:jc w:val="right"/>
              <w:rPr>
                <w:rFonts w:eastAsia="黑体"/>
              </w:rPr>
            </w:pPr>
            <w:r>
              <w:rPr>
                <w:rFonts w:eastAsia="黑体"/>
              </w:rPr>
              <w:t>抄送：</w:t>
            </w:r>
          </w:p>
        </w:tc>
        <w:tc>
          <w:tcPr>
            <w:tcW w:w="7812" w:type="dxa"/>
            <w:gridSpan w:val="2"/>
            <w:tcBorders>
              <w:top w:val="single" w:color="auto" w:sz="8" w:space="0"/>
              <w:bottom w:val="single" w:color="auto" w:sz="8" w:space="0"/>
            </w:tcBorders>
          </w:tcPr>
          <w:p>
            <w:r>
              <w:t>天津市滨海新区</w:t>
            </w:r>
            <w:r>
              <w:rPr>
                <w:rFonts w:hint="eastAsia"/>
              </w:rPr>
              <w:t>生态</w:t>
            </w:r>
            <w:r>
              <w:t>环境局</w:t>
            </w:r>
          </w:p>
        </w:tc>
      </w:tr>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5164" w:type="dxa"/>
            <w:gridSpan w:val="2"/>
            <w:tcBorders>
              <w:top w:val="single" w:color="auto" w:sz="8" w:space="0"/>
            </w:tcBorders>
          </w:tcPr>
          <w:p>
            <w:r>
              <w:rPr>
                <w:rFonts w:hint="eastAsia"/>
              </w:rPr>
              <w:t>天津市滨海新区行政审批局</w:t>
            </w:r>
          </w:p>
        </w:tc>
        <w:tc>
          <w:tcPr>
            <w:tcW w:w="3890" w:type="dxa"/>
            <w:tcBorders>
              <w:top w:val="single" w:color="auto" w:sz="8" w:space="0"/>
            </w:tcBorders>
          </w:tcPr>
          <w:p>
            <w:pPr>
              <w:wordWrap w:val="0"/>
              <w:ind w:right="320" w:rightChars="100"/>
              <w:jc w:val="right"/>
            </w:pPr>
            <w:r>
              <w:rPr>
                <w:rFonts w:ascii="Times New Roman" w:hAnsi="Times New Roman"/>
              </w:rPr>
              <w:t>20</w:t>
            </w:r>
            <w:r>
              <w:rPr>
                <w:rFonts w:hint="eastAsia" w:ascii="Times New Roman" w:hAnsi="Times New Roman"/>
              </w:rPr>
              <w:t>24</w:t>
            </w:r>
            <w:r>
              <w:rPr>
                <w:rFonts w:ascii="Times New Roman" w:hAnsi="Times New Roman"/>
              </w:rPr>
              <w:t>年</w:t>
            </w:r>
            <w:r>
              <w:rPr>
                <w:rFonts w:hint="eastAsia" w:ascii="Times New Roman" w:hAnsi="Times New Roman"/>
              </w:rPr>
              <w:t>1月31</w:t>
            </w:r>
            <w:r>
              <w:rPr>
                <w:rFonts w:ascii="Times New Roman" w:hAnsi="Times New Roman"/>
              </w:rPr>
              <w:t>日</w:t>
            </w:r>
            <w:r>
              <w:t>印发</w:t>
            </w:r>
          </w:p>
        </w:tc>
      </w:tr>
    </w:tbl>
    <w:p/>
    <w:sectPr>
      <w:headerReference r:id="rId3" w:type="default"/>
      <w:footerReference r:id="rId4"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49765"/>
    </w:sdtPr>
    <w:sdtContent>
      <w:p>
        <w:pPr>
          <w:pStyle w:val="8"/>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4B9D"/>
    <w:rsid w:val="000000ED"/>
    <w:rsid w:val="00002A0A"/>
    <w:rsid w:val="000077E5"/>
    <w:rsid w:val="00017EFA"/>
    <w:rsid w:val="00021047"/>
    <w:rsid w:val="00024787"/>
    <w:rsid w:val="00032953"/>
    <w:rsid w:val="0003541A"/>
    <w:rsid w:val="00040AD7"/>
    <w:rsid w:val="00044211"/>
    <w:rsid w:val="00047C18"/>
    <w:rsid w:val="000548CC"/>
    <w:rsid w:val="00055E4A"/>
    <w:rsid w:val="00056885"/>
    <w:rsid w:val="00062FED"/>
    <w:rsid w:val="00063BE2"/>
    <w:rsid w:val="00064CC1"/>
    <w:rsid w:val="00067FD5"/>
    <w:rsid w:val="00077ADA"/>
    <w:rsid w:val="00077B4E"/>
    <w:rsid w:val="00080A98"/>
    <w:rsid w:val="000834E6"/>
    <w:rsid w:val="00085EF5"/>
    <w:rsid w:val="0008666F"/>
    <w:rsid w:val="000931B0"/>
    <w:rsid w:val="000931CA"/>
    <w:rsid w:val="0009352D"/>
    <w:rsid w:val="00093C99"/>
    <w:rsid w:val="00096062"/>
    <w:rsid w:val="00097DA8"/>
    <w:rsid w:val="000A0A7C"/>
    <w:rsid w:val="000B7E3D"/>
    <w:rsid w:val="000C0B09"/>
    <w:rsid w:val="000C2100"/>
    <w:rsid w:val="000D1DDA"/>
    <w:rsid w:val="000D45D0"/>
    <w:rsid w:val="000E03EA"/>
    <w:rsid w:val="000E069B"/>
    <w:rsid w:val="000E1CBE"/>
    <w:rsid w:val="000E209C"/>
    <w:rsid w:val="000F7EEF"/>
    <w:rsid w:val="0011736F"/>
    <w:rsid w:val="0012627B"/>
    <w:rsid w:val="00127AE7"/>
    <w:rsid w:val="00131E9C"/>
    <w:rsid w:val="00143B34"/>
    <w:rsid w:val="00151F7B"/>
    <w:rsid w:val="00155A9A"/>
    <w:rsid w:val="001602A8"/>
    <w:rsid w:val="001663F8"/>
    <w:rsid w:val="001708D6"/>
    <w:rsid w:val="00175B24"/>
    <w:rsid w:val="00183379"/>
    <w:rsid w:val="0019193B"/>
    <w:rsid w:val="00195540"/>
    <w:rsid w:val="00196581"/>
    <w:rsid w:val="001976F3"/>
    <w:rsid w:val="001A21BB"/>
    <w:rsid w:val="001A3DFC"/>
    <w:rsid w:val="001B066E"/>
    <w:rsid w:val="001C0D5B"/>
    <w:rsid w:val="001C71C4"/>
    <w:rsid w:val="001D403C"/>
    <w:rsid w:val="001D55C1"/>
    <w:rsid w:val="001E44A6"/>
    <w:rsid w:val="001F2D1D"/>
    <w:rsid w:val="001F3EDC"/>
    <w:rsid w:val="002014D5"/>
    <w:rsid w:val="00203B29"/>
    <w:rsid w:val="0020596A"/>
    <w:rsid w:val="00210B83"/>
    <w:rsid w:val="00210E1E"/>
    <w:rsid w:val="002225C4"/>
    <w:rsid w:val="00231DC7"/>
    <w:rsid w:val="0024430E"/>
    <w:rsid w:val="0024456C"/>
    <w:rsid w:val="0024608A"/>
    <w:rsid w:val="002608D0"/>
    <w:rsid w:val="00261B2D"/>
    <w:rsid w:val="00264D72"/>
    <w:rsid w:val="00265F97"/>
    <w:rsid w:val="0027460C"/>
    <w:rsid w:val="00275DD8"/>
    <w:rsid w:val="00282601"/>
    <w:rsid w:val="002858A4"/>
    <w:rsid w:val="002A2E15"/>
    <w:rsid w:val="002A61D2"/>
    <w:rsid w:val="002B2446"/>
    <w:rsid w:val="002B4C5E"/>
    <w:rsid w:val="002B607C"/>
    <w:rsid w:val="002B7DD3"/>
    <w:rsid w:val="002C15B6"/>
    <w:rsid w:val="002C7B8F"/>
    <w:rsid w:val="002D4DA6"/>
    <w:rsid w:val="002D7082"/>
    <w:rsid w:val="002D7B03"/>
    <w:rsid w:val="002E1824"/>
    <w:rsid w:val="002E1F70"/>
    <w:rsid w:val="002E692F"/>
    <w:rsid w:val="00310B46"/>
    <w:rsid w:val="00325C11"/>
    <w:rsid w:val="003276C0"/>
    <w:rsid w:val="00330A22"/>
    <w:rsid w:val="00336F06"/>
    <w:rsid w:val="00344556"/>
    <w:rsid w:val="00346E41"/>
    <w:rsid w:val="00351A82"/>
    <w:rsid w:val="003631B1"/>
    <w:rsid w:val="00371D93"/>
    <w:rsid w:val="00371F2C"/>
    <w:rsid w:val="00373B1A"/>
    <w:rsid w:val="00374E8D"/>
    <w:rsid w:val="00380065"/>
    <w:rsid w:val="00390C7F"/>
    <w:rsid w:val="00393849"/>
    <w:rsid w:val="0039472D"/>
    <w:rsid w:val="00395C48"/>
    <w:rsid w:val="003A0AF9"/>
    <w:rsid w:val="003A1334"/>
    <w:rsid w:val="003A397F"/>
    <w:rsid w:val="003A3EBD"/>
    <w:rsid w:val="003C657C"/>
    <w:rsid w:val="003D7B4C"/>
    <w:rsid w:val="003E02CA"/>
    <w:rsid w:val="003E18B7"/>
    <w:rsid w:val="003E29CF"/>
    <w:rsid w:val="003E7B28"/>
    <w:rsid w:val="003F04B9"/>
    <w:rsid w:val="003F5629"/>
    <w:rsid w:val="0040020E"/>
    <w:rsid w:val="00404088"/>
    <w:rsid w:val="0041139B"/>
    <w:rsid w:val="004206D8"/>
    <w:rsid w:val="00421E27"/>
    <w:rsid w:val="0042398D"/>
    <w:rsid w:val="00427887"/>
    <w:rsid w:val="00431B4A"/>
    <w:rsid w:val="0043662D"/>
    <w:rsid w:val="004614CE"/>
    <w:rsid w:val="004646FB"/>
    <w:rsid w:val="00470DF8"/>
    <w:rsid w:val="00471DD2"/>
    <w:rsid w:val="00475631"/>
    <w:rsid w:val="004831E2"/>
    <w:rsid w:val="0048593A"/>
    <w:rsid w:val="00495B78"/>
    <w:rsid w:val="004969DE"/>
    <w:rsid w:val="004A5F7D"/>
    <w:rsid w:val="004B1790"/>
    <w:rsid w:val="004B1B4C"/>
    <w:rsid w:val="004B1D77"/>
    <w:rsid w:val="004B344A"/>
    <w:rsid w:val="004B6554"/>
    <w:rsid w:val="004B6CF6"/>
    <w:rsid w:val="004C45DF"/>
    <w:rsid w:val="004C5D6A"/>
    <w:rsid w:val="004E63D4"/>
    <w:rsid w:val="004F193A"/>
    <w:rsid w:val="004F5D03"/>
    <w:rsid w:val="005128CD"/>
    <w:rsid w:val="00514D56"/>
    <w:rsid w:val="00520063"/>
    <w:rsid w:val="00535942"/>
    <w:rsid w:val="005413E6"/>
    <w:rsid w:val="00542C61"/>
    <w:rsid w:val="00543765"/>
    <w:rsid w:val="005537B6"/>
    <w:rsid w:val="00577495"/>
    <w:rsid w:val="00585DE1"/>
    <w:rsid w:val="00585EB7"/>
    <w:rsid w:val="005860F7"/>
    <w:rsid w:val="00597D45"/>
    <w:rsid w:val="005A3B98"/>
    <w:rsid w:val="005A58A9"/>
    <w:rsid w:val="005A6D2D"/>
    <w:rsid w:val="005B1982"/>
    <w:rsid w:val="005B2AAF"/>
    <w:rsid w:val="005C4AB4"/>
    <w:rsid w:val="005D1915"/>
    <w:rsid w:val="005E1F3E"/>
    <w:rsid w:val="005E2FEA"/>
    <w:rsid w:val="005E4B9D"/>
    <w:rsid w:val="005F1ECA"/>
    <w:rsid w:val="005F2674"/>
    <w:rsid w:val="005F4F6F"/>
    <w:rsid w:val="00611936"/>
    <w:rsid w:val="00613E5D"/>
    <w:rsid w:val="00614CAB"/>
    <w:rsid w:val="00630E95"/>
    <w:rsid w:val="00635419"/>
    <w:rsid w:val="00635EA9"/>
    <w:rsid w:val="0063672A"/>
    <w:rsid w:val="00637D80"/>
    <w:rsid w:val="00641380"/>
    <w:rsid w:val="00641676"/>
    <w:rsid w:val="00644BE7"/>
    <w:rsid w:val="00645767"/>
    <w:rsid w:val="0065312E"/>
    <w:rsid w:val="00654D5F"/>
    <w:rsid w:val="00660EAC"/>
    <w:rsid w:val="006617DA"/>
    <w:rsid w:val="006618CE"/>
    <w:rsid w:val="006700E6"/>
    <w:rsid w:val="00672AB5"/>
    <w:rsid w:val="00680C6E"/>
    <w:rsid w:val="006814DD"/>
    <w:rsid w:val="00687F41"/>
    <w:rsid w:val="0069481E"/>
    <w:rsid w:val="006952E6"/>
    <w:rsid w:val="006A3C27"/>
    <w:rsid w:val="006A3CA1"/>
    <w:rsid w:val="006B0572"/>
    <w:rsid w:val="006C5EDA"/>
    <w:rsid w:val="006C666D"/>
    <w:rsid w:val="006C6966"/>
    <w:rsid w:val="006C7509"/>
    <w:rsid w:val="006D0535"/>
    <w:rsid w:val="006D1E00"/>
    <w:rsid w:val="006E089C"/>
    <w:rsid w:val="006E29BD"/>
    <w:rsid w:val="006E7736"/>
    <w:rsid w:val="0070112D"/>
    <w:rsid w:val="0073526A"/>
    <w:rsid w:val="00745C96"/>
    <w:rsid w:val="00746C49"/>
    <w:rsid w:val="00764376"/>
    <w:rsid w:val="0077289E"/>
    <w:rsid w:val="007770C6"/>
    <w:rsid w:val="00783770"/>
    <w:rsid w:val="007838F6"/>
    <w:rsid w:val="00785125"/>
    <w:rsid w:val="007878B2"/>
    <w:rsid w:val="007937C9"/>
    <w:rsid w:val="00794183"/>
    <w:rsid w:val="007A22B2"/>
    <w:rsid w:val="007A42BF"/>
    <w:rsid w:val="007A62CF"/>
    <w:rsid w:val="007A70F9"/>
    <w:rsid w:val="007B600E"/>
    <w:rsid w:val="007C49A0"/>
    <w:rsid w:val="007C5CCE"/>
    <w:rsid w:val="007E0239"/>
    <w:rsid w:val="007F3A11"/>
    <w:rsid w:val="007F45F1"/>
    <w:rsid w:val="007F7F4B"/>
    <w:rsid w:val="00800908"/>
    <w:rsid w:val="0082033A"/>
    <w:rsid w:val="00834E43"/>
    <w:rsid w:val="00836613"/>
    <w:rsid w:val="00854762"/>
    <w:rsid w:val="008773DC"/>
    <w:rsid w:val="0088082E"/>
    <w:rsid w:val="00880ACF"/>
    <w:rsid w:val="008843BD"/>
    <w:rsid w:val="0089128F"/>
    <w:rsid w:val="008B3585"/>
    <w:rsid w:val="008B3C8D"/>
    <w:rsid w:val="008B64A3"/>
    <w:rsid w:val="008B7F60"/>
    <w:rsid w:val="008E337A"/>
    <w:rsid w:val="008E7A7C"/>
    <w:rsid w:val="00905F97"/>
    <w:rsid w:val="00914185"/>
    <w:rsid w:val="00915B0E"/>
    <w:rsid w:val="00922DCA"/>
    <w:rsid w:val="009329D7"/>
    <w:rsid w:val="00932A5B"/>
    <w:rsid w:val="0093523F"/>
    <w:rsid w:val="009405B8"/>
    <w:rsid w:val="00943995"/>
    <w:rsid w:val="00951076"/>
    <w:rsid w:val="00960614"/>
    <w:rsid w:val="00962EEA"/>
    <w:rsid w:val="00971CA7"/>
    <w:rsid w:val="00975A90"/>
    <w:rsid w:val="00983896"/>
    <w:rsid w:val="00987274"/>
    <w:rsid w:val="00992890"/>
    <w:rsid w:val="009A01DB"/>
    <w:rsid w:val="009A1CDD"/>
    <w:rsid w:val="009A26A1"/>
    <w:rsid w:val="009A38D1"/>
    <w:rsid w:val="009A6638"/>
    <w:rsid w:val="009B3B1A"/>
    <w:rsid w:val="009C1AD6"/>
    <w:rsid w:val="009C2978"/>
    <w:rsid w:val="009D0145"/>
    <w:rsid w:val="009D5CD3"/>
    <w:rsid w:val="009E34EE"/>
    <w:rsid w:val="00A00F99"/>
    <w:rsid w:val="00A1098A"/>
    <w:rsid w:val="00A1188C"/>
    <w:rsid w:val="00A144E3"/>
    <w:rsid w:val="00A17D40"/>
    <w:rsid w:val="00A21502"/>
    <w:rsid w:val="00A270E7"/>
    <w:rsid w:val="00A373B9"/>
    <w:rsid w:val="00A46A05"/>
    <w:rsid w:val="00A47243"/>
    <w:rsid w:val="00A477A7"/>
    <w:rsid w:val="00A51802"/>
    <w:rsid w:val="00A5585F"/>
    <w:rsid w:val="00A6581B"/>
    <w:rsid w:val="00A66C37"/>
    <w:rsid w:val="00A820B7"/>
    <w:rsid w:val="00A8352F"/>
    <w:rsid w:val="00A87B5F"/>
    <w:rsid w:val="00A952D5"/>
    <w:rsid w:val="00A95D77"/>
    <w:rsid w:val="00AA23AE"/>
    <w:rsid w:val="00AA52FC"/>
    <w:rsid w:val="00AB0337"/>
    <w:rsid w:val="00AB1BC3"/>
    <w:rsid w:val="00AB5754"/>
    <w:rsid w:val="00AC54A2"/>
    <w:rsid w:val="00AD4B10"/>
    <w:rsid w:val="00AD5519"/>
    <w:rsid w:val="00AE07C3"/>
    <w:rsid w:val="00AE2071"/>
    <w:rsid w:val="00AE2FBB"/>
    <w:rsid w:val="00AE3626"/>
    <w:rsid w:val="00AE466E"/>
    <w:rsid w:val="00AE51DF"/>
    <w:rsid w:val="00AF1EA3"/>
    <w:rsid w:val="00AF6F47"/>
    <w:rsid w:val="00B01A96"/>
    <w:rsid w:val="00B01DED"/>
    <w:rsid w:val="00B02152"/>
    <w:rsid w:val="00B067C2"/>
    <w:rsid w:val="00B13FB6"/>
    <w:rsid w:val="00B22DB1"/>
    <w:rsid w:val="00B31641"/>
    <w:rsid w:val="00B37379"/>
    <w:rsid w:val="00B56AAE"/>
    <w:rsid w:val="00B57588"/>
    <w:rsid w:val="00B57FF0"/>
    <w:rsid w:val="00B624CD"/>
    <w:rsid w:val="00B64083"/>
    <w:rsid w:val="00B673ED"/>
    <w:rsid w:val="00B70DC0"/>
    <w:rsid w:val="00B739DA"/>
    <w:rsid w:val="00B7639D"/>
    <w:rsid w:val="00B84011"/>
    <w:rsid w:val="00B96FA4"/>
    <w:rsid w:val="00BA02E4"/>
    <w:rsid w:val="00BA02ED"/>
    <w:rsid w:val="00BA2C98"/>
    <w:rsid w:val="00BA45D7"/>
    <w:rsid w:val="00BC25B7"/>
    <w:rsid w:val="00BC3FF8"/>
    <w:rsid w:val="00BD4A63"/>
    <w:rsid w:val="00BE374B"/>
    <w:rsid w:val="00BE38C8"/>
    <w:rsid w:val="00BE56E3"/>
    <w:rsid w:val="00BE5984"/>
    <w:rsid w:val="00BF05E9"/>
    <w:rsid w:val="00BF09DE"/>
    <w:rsid w:val="00BF5079"/>
    <w:rsid w:val="00BF708D"/>
    <w:rsid w:val="00BF77C8"/>
    <w:rsid w:val="00C04DD9"/>
    <w:rsid w:val="00C2482D"/>
    <w:rsid w:val="00C248D3"/>
    <w:rsid w:val="00C24A81"/>
    <w:rsid w:val="00C24C19"/>
    <w:rsid w:val="00C26759"/>
    <w:rsid w:val="00C3090B"/>
    <w:rsid w:val="00C41EF9"/>
    <w:rsid w:val="00C5235E"/>
    <w:rsid w:val="00C66115"/>
    <w:rsid w:val="00C71D07"/>
    <w:rsid w:val="00C74B54"/>
    <w:rsid w:val="00C76135"/>
    <w:rsid w:val="00C76B70"/>
    <w:rsid w:val="00C93BD6"/>
    <w:rsid w:val="00CA7CE6"/>
    <w:rsid w:val="00CB3B56"/>
    <w:rsid w:val="00CB445D"/>
    <w:rsid w:val="00CD60AB"/>
    <w:rsid w:val="00CE3A5A"/>
    <w:rsid w:val="00CE50C2"/>
    <w:rsid w:val="00CE727D"/>
    <w:rsid w:val="00D04168"/>
    <w:rsid w:val="00D05CEE"/>
    <w:rsid w:val="00D07579"/>
    <w:rsid w:val="00D2190F"/>
    <w:rsid w:val="00D23537"/>
    <w:rsid w:val="00D26FFE"/>
    <w:rsid w:val="00D36EE4"/>
    <w:rsid w:val="00D43EFC"/>
    <w:rsid w:val="00D5178D"/>
    <w:rsid w:val="00D52B0E"/>
    <w:rsid w:val="00D56CEF"/>
    <w:rsid w:val="00D60F28"/>
    <w:rsid w:val="00D74BAE"/>
    <w:rsid w:val="00D94456"/>
    <w:rsid w:val="00D949FB"/>
    <w:rsid w:val="00D950F8"/>
    <w:rsid w:val="00DA353D"/>
    <w:rsid w:val="00DB1C01"/>
    <w:rsid w:val="00DC203A"/>
    <w:rsid w:val="00DC4A11"/>
    <w:rsid w:val="00DD25A3"/>
    <w:rsid w:val="00DE780B"/>
    <w:rsid w:val="00DF37C0"/>
    <w:rsid w:val="00DF3855"/>
    <w:rsid w:val="00DF4F33"/>
    <w:rsid w:val="00E163F4"/>
    <w:rsid w:val="00E22F90"/>
    <w:rsid w:val="00E2523D"/>
    <w:rsid w:val="00E312EA"/>
    <w:rsid w:val="00E45940"/>
    <w:rsid w:val="00E504D9"/>
    <w:rsid w:val="00E574A1"/>
    <w:rsid w:val="00E576AA"/>
    <w:rsid w:val="00E63B55"/>
    <w:rsid w:val="00E64A32"/>
    <w:rsid w:val="00E73A6B"/>
    <w:rsid w:val="00E765CB"/>
    <w:rsid w:val="00E76CAF"/>
    <w:rsid w:val="00E802EC"/>
    <w:rsid w:val="00E821A2"/>
    <w:rsid w:val="00E872A0"/>
    <w:rsid w:val="00E95586"/>
    <w:rsid w:val="00EA018F"/>
    <w:rsid w:val="00EA7883"/>
    <w:rsid w:val="00EB1667"/>
    <w:rsid w:val="00EB5672"/>
    <w:rsid w:val="00EC51BA"/>
    <w:rsid w:val="00ED4449"/>
    <w:rsid w:val="00ED79C2"/>
    <w:rsid w:val="00EE1F06"/>
    <w:rsid w:val="00EE23A3"/>
    <w:rsid w:val="00EF0E47"/>
    <w:rsid w:val="00F00BFA"/>
    <w:rsid w:val="00F142DC"/>
    <w:rsid w:val="00F35AD7"/>
    <w:rsid w:val="00F4088D"/>
    <w:rsid w:val="00F44931"/>
    <w:rsid w:val="00F51346"/>
    <w:rsid w:val="00F62653"/>
    <w:rsid w:val="00F74308"/>
    <w:rsid w:val="00FA5273"/>
    <w:rsid w:val="00FD223C"/>
    <w:rsid w:val="00FE7956"/>
    <w:rsid w:val="00FF2EEF"/>
    <w:rsid w:val="00FF61EA"/>
    <w:rsid w:val="01740FA6"/>
    <w:rsid w:val="026223A4"/>
    <w:rsid w:val="03277AEE"/>
    <w:rsid w:val="03BC13EC"/>
    <w:rsid w:val="04794817"/>
    <w:rsid w:val="049F51EA"/>
    <w:rsid w:val="09BF05F1"/>
    <w:rsid w:val="0EBF5D6C"/>
    <w:rsid w:val="10C40B26"/>
    <w:rsid w:val="11860AFB"/>
    <w:rsid w:val="14645659"/>
    <w:rsid w:val="15906A89"/>
    <w:rsid w:val="17C66775"/>
    <w:rsid w:val="18770142"/>
    <w:rsid w:val="19A02B60"/>
    <w:rsid w:val="1B067D19"/>
    <w:rsid w:val="20BD4F1E"/>
    <w:rsid w:val="21FA61F2"/>
    <w:rsid w:val="22503B80"/>
    <w:rsid w:val="249C309C"/>
    <w:rsid w:val="286F144A"/>
    <w:rsid w:val="298F17BF"/>
    <w:rsid w:val="2BE42BD3"/>
    <w:rsid w:val="2CA67E37"/>
    <w:rsid w:val="30F607F1"/>
    <w:rsid w:val="317136CD"/>
    <w:rsid w:val="31AC24EA"/>
    <w:rsid w:val="366337ED"/>
    <w:rsid w:val="3E0A124F"/>
    <w:rsid w:val="43727992"/>
    <w:rsid w:val="45933C72"/>
    <w:rsid w:val="472C15E5"/>
    <w:rsid w:val="4B4345C1"/>
    <w:rsid w:val="4C3B6976"/>
    <w:rsid w:val="51DC2670"/>
    <w:rsid w:val="548B2661"/>
    <w:rsid w:val="54C27A80"/>
    <w:rsid w:val="555761E8"/>
    <w:rsid w:val="57904998"/>
    <w:rsid w:val="5C690FBE"/>
    <w:rsid w:val="5CED210B"/>
    <w:rsid w:val="5FCA5CA8"/>
    <w:rsid w:val="61593D0C"/>
    <w:rsid w:val="623B37C7"/>
    <w:rsid w:val="625247BE"/>
    <w:rsid w:val="63D53BEC"/>
    <w:rsid w:val="67DB7004"/>
    <w:rsid w:val="68EB2C3F"/>
    <w:rsid w:val="68EC03E8"/>
    <w:rsid w:val="6CAC6DB4"/>
    <w:rsid w:val="6D53268A"/>
    <w:rsid w:val="6E5B3674"/>
    <w:rsid w:val="6F0736D9"/>
    <w:rsid w:val="6F9B6032"/>
    <w:rsid w:val="73AF76A0"/>
    <w:rsid w:val="753C7334"/>
    <w:rsid w:val="76817CF6"/>
    <w:rsid w:val="7B7F61CD"/>
    <w:rsid w:val="7F4738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Indent"/>
    <w:basedOn w:val="1"/>
    <w:link w:val="14"/>
    <w:qFormat/>
    <w:uiPriority w:val="0"/>
    <w:pPr>
      <w:ind w:firstLine="420" w:firstLineChars="200"/>
    </w:pPr>
  </w:style>
  <w:style w:type="paragraph" w:styleId="4">
    <w:name w:val="annotation text"/>
    <w:basedOn w:val="1"/>
    <w:link w:val="17"/>
    <w:qFormat/>
    <w:uiPriority w:val="0"/>
    <w:pPr>
      <w:jc w:val="left"/>
    </w:pPr>
  </w:style>
  <w:style w:type="paragraph" w:styleId="5">
    <w:name w:val="Body Text Indent"/>
    <w:basedOn w:val="1"/>
    <w:qFormat/>
    <w:uiPriority w:val="0"/>
    <w:pPr>
      <w:ind w:firstLine="600"/>
    </w:pPr>
    <w:rPr>
      <w:rFonts w:ascii="仿宋_GB2312"/>
      <w:sz w:val="30"/>
    </w:rPr>
  </w:style>
  <w:style w:type="paragraph" w:styleId="6">
    <w:name w:val="Date"/>
    <w:basedOn w:val="1"/>
    <w:next w:val="1"/>
    <w:link w:val="15"/>
    <w:qFormat/>
    <w:uiPriority w:val="0"/>
    <w:pPr>
      <w:ind w:left="100" w:leftChars="2500"/>
    </w:pPr>
  </w:style>
  <w:style w:type="paragraph" w:styleId="7">
    <w:name w:val="Balloon Text"/>
    <w:basedOn w:val="1"/>
    <w:link w:val="16"/>
    <w:qFormat/>
    <w:uiPriority w:val="0"/>
    <w:rPr>
      <w:sz w:val="18"/>
      <w:szCs w:val="18"/>
    </w:rPr>
  </w:style>
  <w:style w:type="paragraph" w:styleId="8">
    <w:name w:val="footer"/>
    <w:basedOn w:val="1"/>
    <w:link w:val="11"/>
    <w:qFormat/>
    <w:uiPriority w:val="99"/>
    <w:pPr>
      <w:tabs>
        <w:tab w:val="center" w:pos="4153"/>
        <w:tab w:val="right" w:pos="8306"/>
      </w:tabs>
      <w:snapToGrid w:val="0"/>
      <w:jc w:val="left"/>
    </w:pPr>
    <w:rPr>
      <w:sz w:val="18"/>
      <w:szCs w:val="18"/>
    </w:rPr>
  </w:style>
  <w:style w:type="character" w:customStyle="1" w:styleId="11">
    <w:name w:val="页脚 Char"/>
    <w:basedOn w:val="10"/>
    <w:link w:val="8"/>
    <w:qFormat/>
    <w:uiPriority w:val="99"/>
    <w:rPr>
      <w:rFonts w:eastAsia="仿宋_GB2312"/>
      <w:kern w:val="2"/>
      <w:sz w:val="18"/>
      <w:szCs w:val="18"/>
    </w:rPr>
  </w:style>
  <w:style w:type="paragraph" w:customStyle="1" w:styleId="12">
    <w:name w:val="中文报告书样式"/>
    <w:basedOn w:val="1"/>
    <w:link w:val="13"/>
    <w:qFormat/>
    <w:uiPriority w:val="0"/>
    <w:pPr>
      <w:adjustRightInd w:val="0"/>
      <w:spacing w:line="420" w:lineRule="atLeast"/>
      <w:jc w:val="left"/>
      <w:textAlignment w:val="baseline"/>
    </w:pPr>
    <w:rPr>
      <w:rFonts w:ascii="Times New Roman" w:hAnsi="Times New Roman"/>
      <w:kern w:val="24"/>
      <w:sz w:val="24"/>
      <w:szCs w:val="20"/>
    </w:rPr>
  </w:style>
  <w:style w:type="character" w:customStyle="1" w:styleId="13">
    <w:name w:val="中文报告书样式 Char1"/>
    <w:basedOn w:val="10"/>
    <w:link w:val="12"/>
    <w:qFormat/>
    <w:locked/>
    <w:uiPriority w:val="0"/>
    <w:rPr>
      <w:rFonts w:ascii="Times New Roman" w:hAnsi="Times New Roman" w:eastAsia="仿宋_GB2312"/>
      <w:kern w:val="24"/>
      <w:sz w:val="24"/>
    </w:rPr>
  </w:style>
  <w:style w:type="character" w:customStyle="1" w:styleId="14">
    <w:name w:val="正文缩进 Char"/>
    <w:basedOn w:val="10"/>
    <w:link w:val="3"/>
    <w:qFormat/>
    <w:uiPriority w:val="0"/>
    <w:rPr>
      <w:rFonts w:eastAsia="仿宋_GB2312"/>
      <w:kern w:val="2"/>
      <w:sz w:val="32"/>
      <w:szCs w:val="32"/>
    </w:rPr>
  </w:style>
  <w:style w:type="character" w:customStyle="1" w:styleId="15">
    <w:name w:val="日期 Char"/>
    <w:basedOn w:val="10"/>
    <w:link w:val="6"/>
    <w:qFormat/>
    <w:uiPriority w:val="0"/>
    <w:rPr>
      <w:rFonts w:eastAsia="仿宋_GB2312"/>
      <w:kern w:val="2"/>
      <w:sz w:val="32"/>
      <w:szCs w:val="32"/>
    </w:rPr>
  </w:style>
  <w:style w:type="character" w:customStyle="1" w:styleId="16">
    <w:name w:val="批注框文本 Char"/>
    <w:basedOn w:val="10"/>
    <w:link w:val="7"/>
    <w:qFormat/>
    <w:uiPriority w:val="0"/>
    <w:rPr>
      <w:rFonts w:ascii="Calibri" w:hAnsi="Calibri" w:eastAsia="仿宋_GB2312"/>
      <w:kern w:val="2"/>
      <w:sz w:val="18"/>
      <w:szCs w:val="18"/>
    </w:rPr>
  </w:style>
  <w:style w:type="character" w:customStyle="1" w:styleId="17">
    <w:name w:val="批注文字 Char"/>
    <w:basedOn w:val="10"/>
    <w:link w:val="4"/>
    <w:qFormat/>
    <w:uiPriority w:val="0"/>
    <w:rPr>
      <w:rFonts w:ascii="Calibri" w:hAnsi="Calibri" w:eastAsia="仿宋_GB2312"/>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333</Words>
  <Characters>1899</Characters>
  <Lines>15</Lines>
  <Paragraphs>4</Paragraphs>
  <TotalTime>882</TotalTime>
  <ScaleCrop>false</ScaleCrop>
  <LinksUpToDate>false</LinksUpToDate>
  <CharactersWithSpaces>2228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2017-08-16T10:57:00Z</dcterms:created>
  <dc:creator>Administrator</dc:creator>
  <cp:lastModifiedBy>许微</cp:lastModifiedBy>
  <cp:lastPrinted>2024-01-23T10:10:00Z</cp:lastPrinted>
  <dcterms:modified xsi:type="dcterms:W3CDTF">2024-02-02T10:50:47Z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41CAC6463FBF4D629676975235F61E16</vt:lpwstr>
  </property>
</Properties>
</file>