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_GB2312"/>
        </w:rPr>
      </w:pPr>
    </w:p>
    <w:p>
      <w:pPr>
        <w:rPr>
          <w:rFonts w:ascii="仿宋_GB2312"/>
        </w:rPr>
      </w:pPr>
    </w:p>
    <w:p>
      <w:pPr>
        <w:rPr>
          <w:rFonts w:ascii="仿宋_GB2312"/>
        </w:rPr>
      </w:pPr>
    </w:p>
    <w:p>
      <w:pPr>
        <w:spacing w:line="360" w:lineRule="auto"/>
        <w:jc w:val="center"/>
        <w:rPr>
          <w:rFonts w:ascii="仿宋_GB2312"/>
        </w:rPr>
      </w:pPr>
    </w:p>
    <w:p>
      <w:pPr>
        <w:autoSpaceDE w:val="0"/>
        <w:autoSpaceDN w:val="0"/>
        <w:jc w:val="center"/>
        <w:rPr>
          <w:rFonts w:ascii="Times New Roman" w:hAnsi="Times New Roman"/>
        </w:rPr>
      </w:pPr>
      <w:r>
        <w:rPr>
          <w:rFonts w:hint="eastAsia" w:ascii="Times New Roman" w:hAnsi="Times New Roman"/>
          <w:lang w:val="zh-CN"/>
        </w:rPr>
        <w:t xml:space="preserve">津滨审批二室准〔2023〕182 号 </w:t>
      </w:r>
      <w:bookmarkStart w:id="0" w:name="_GoBack"/>
      <w:bookmarkEnd w:id="0"/>
    </w:p>
    <w:p>
      <w:pPr>
        <w:spacing w:line="405" w:lineRule="atLeast"/>
        <w:jc w:val="center"/>
        <w:rPr>
          <w:rFonts w:ascii="Times New Roman" w:hAnsi="Times New Roman"/>
          <w:bCs/>
          <w:kern w:val="24"/>
        </w:rPr>
      </w:pPr>
      <w:r>
        <w:rPr>
          <w:rFonts w:hint="eastAsia" w:ascii="Times New Roman" w:hAnsi="Times New Roman"/>
          <w:bCs/>
        </w:rPr>
        <w:t>项目代码：</w:t>
      </w:r>
      <w:r>
        <w:rPr>
          <w:rFonts w:hint="eastAsia" w:ascii="Times New Roman" w:hAnsi="Times New Roman"/>
          <w:bCs/>
          <w:kern w:val="24"/>
        </w:rPr>
        <w:t>2212-120116-89-02-548380</w:t>
      </w:r>
    </w:p>
    <w:p>
      <w:pPr>
        <w:spacing w:line="600" w:lineRule="exact"/>
        <w:jc w:val="center"/>
        <w:rPr>
          <w:b/>
          <w:color w:val="000000"/>
          <w:sz w:val="44"/>
        </w:rPr>
      </w:pPr>
    </w:p>
    <w:p>
      <w:pPr>
        <w:pStyle w:val="8"/>
        <w:spacing w:line="600" w:lineRule="exact"/>
        <w:jc w:val="center"/>
        <w:rPr>
          <w:rFonts w:eastAsia="方正小标宋简体"/>
          <w:color w:val="000000"/>
          <w:sz w:val="44"/>
        </w:rPr>
      </w:pPr>
      <w:r>
        <w:rPr>
          <w:rFonts w:hint="eastAsia" w:eastAsia="方正小标宋简体"/>
          <w:color w:val="000000"/>
          <w:sz w:val="44"/>
        </w:rPr>
        <w:t>关于中海油能源发展股份有限公司</w:t>
      </w:r>
    </w:p>
    <w:p>
      <w:pPr>
        <w:pStyle w:val="8"/>
        <w:spacing w:line="600" w:lineRule="exact"/>
        <w:jc w:val="center"/>
        <w:rPr>
          <w:rFonts w:eastAsia="方正小标宋简体"/>
          <w:color w:val="000000"/>
          <w:sz w:val="44"/>
        </w:rPr>
      </w:pPr>
      <w:r>
        <w:rPr>
          <w:rFonts w:hint="eastAsia" w:eastAsia="方正小标宋简体"/>
          <w:color w:val="000000"/>
          <w:sz w:val="44"/>
        </w:rPr>
        <w:t>清洁能源分公司聚氨酯保温材料喷涂项目</w:t>
      </w:r>
    </w:p>
    <w:p>
      <w:pPr>
        <w:pStyle w:val="8"/>
        <w:spacing w:line="600" w:lineRule="exact"/>
        <w:jc w:val="center"/>
        <w:rPr>
          <w:rFonts w:eastAsia="方正小标宋简体"/>
          <w:color w:val="000000"/>
          <w:sz w:val="44"/>
        </w:rPr>
      </w:pPr>
      <w:r>
        <w:rPr>
          <w:rFonts w:eastAsia="方正小标宋简体"/>
          <w:color w:val="000000"/>
          <w:sz w:val="44"/>
        </w:rPr>
        <w:t>环境影响报告表的批复</w:t>
      </w:r>
    </w:p>
    <w:p>
      <w:pPr>
        <w:spacing w:line="360" w:lineRule="auto"/>
        <w:jc w:val="center"/>
        <w:rPr>
          <w:b/>
          <w:color w:val="000000"/>
          <w:sz w:val="44"/>
        </w:rPr>
      </w:pPr>
    </w:p>
    <w:p>
      <w:pPr>
        <w:pStyle w:val="8"/>
        <w:spacing w:line="360" w:lineRule="auto"/>
        <w:rPr>
          <w:sz w:val="32"/>
          <w:szCs w:val="32"/>
        </w:rPr>
      </w:pPr>
      <w:r>
        <w:rPr>
          <w:rFonts w:hint="eastAsia"/>
          <w:bCs/>
          <w:sz w:val="32"/>
          <w:szCs w:val="32"/>
        </w:rPr>
        <w:t>中海油能源发展股份有限公司清洁能源分公司</w:t>
      </w:r>
      <w:r>
        <w:rPr>
          <w:sz w:val="32"/>
          <w:szCs w:val="32"/>
        </w:rPr>
        <w:t>：</w:t>
      </w:r>
    </w:p>
    <w:p>
      <w:pPr>
        <w:pStyle w:val="8"/>
        <w:ind w:firstLine="662" w:firstLineChars="207"/>
        <w:rPr>
          <w:sz w:val="32"/>
          <w:szCs w:val="32"/>
        </w:rPr>
      </w:pPr>
      <w:r>
        <w:rPr>
          <w:sz w:val="32"/>
          <w:szCs w:val="32"/>
        </w:rPr>
        <w:t>你</w:t>
      </w:r>
      <w:r>
        <w:rPr>
          <w:rFonts w:hint="eastAsia"/>
          <w:sz w:val="32"/>
          <w:szCs w:val="32"/>
        </w:rPr>
        <w:t>公司提交</w:t>
      </w:r>
      <w:r>
        <w:rPr>
          <w:sz w:val="32"/>
          <w:szCs w:val="32"/>
        </w:rPr>
        <w:t>的《关于报批</w:t>
      </w:r>
      <w:r>
        <w:rPr>
          <w:rFonts w:hint="eastAsia"/>
          <w:sz w:val="32"/>
          <w:szCs w:val="32"/>
        </w:rPr>
        <w:t>中海油能源发展股份有限公司清洁能源分公司聚氨酯保温材料喷涂项目</w:t>
      </w:r>
      <w:r>
        <w:rPr>
          <w:sz w:val="32"/>
          <w:szCs w:val="32"/>
        </w:rPr>
        <w:t>环境影响报告表的请示》</w:t>
      </w:r>
      <w:r>
        <w:rPr>
          <w:rFonts w:hint="eastAsia"/>
          <w:sz w:val="32"/>
          <w:szCs w:val="32"/>
        </w:rPr>
        <w:t>、</w:t>
      </w:r>
      <w:r>
        <w:rPr>
          <w:sz w:val="32"/>
          <w:szCs w:val="32"/>
        </w:rPr>
        <w:t>《</w:t>
      </w:r>
      <w:r>
        <w:rPr>
          <w:rFonts w:hint="eastAsia"/>
          <w:sz w:val="32"/>
          <w:szCs w:val="32"/>
        </w:rPr>
        <w:t>聚氨酯保温材料喷涂项目环境影响报告表</w:t>
      </w:r>
      <w:r>
        <w:rPr>
          <w:sz w:val="32"/>
          <w:szCs w:val="32"/>
        </w:rPr>
        <w:t>》</w:t>
      </w:r>
      <w:r>
        <w:rPr>
          <w:rFonts w:hint="eastAsia"/>
          <w:sz w:val="32"/>
          <w:szCs w:val="32"/>
        </w:rPr>
        <w:t>及相关材料收悉</w:t>
      </w:r>
      <w:r>
        <w:rPr>
          <w:sz w:val="32"/>
          <w:szCs w:val="32"/>
        </w:rPr>
        <w:t>。经研究，现批复如下：</w:t>
      </w:r>
    </w:p>
    <w:p>
      <w:pPr>
        <w:pStyle w:val="8"/>
        <w:spacing w:line="360" w:lineRule="auto"/>
        <w:ind w:firstLine="662" w:firstLineChars="207"/>
        <w:rPr>
          <w:sz w:val="32"/>
          <w:szCs w:val="32"/>
        </w:rPr>
      </w:pPr>
      <w:r>
        <w:rPr>
          <w:sz w:val="32"/>
          <w:szCs w:val="32"/>
        </w:rPr>
        <w:t>一、</w:t>
      </w:r>
      <w:r>
        <w:rPr>
          <w:rFonts w:hint="eastAsia"/>
          <w:sz w:val="32"/>
          <w:szCs w:val="32"/>
        </w:rPr>
        <w:t>你公司拟选址于天津市滨海新区南疆港区渤海石油路688号现有厂区建设“聚氨酯保温材料喷涂项目 ”（以下简称“项目”）。项目于东厂区</w:t>
      </w:r>
      <w:r>
        <w:rPr>
          <w:rFonts w:hint="eastAsia"/>
          <w:bCs/>
          <w:sz w:val="32"/>
          <w:szCs w:val="32"/>
        </w:rPr>
        <w:t>保温车间内新增聚氨酯喷涂生产设备，对现有新防腐车间内聚氨酯喷涂生产线已喷涂一次保温材料的钢管进行二次保温材料的喷涂，喷涂后修圆工序依托现有设备</w:t>
      </w:r>
      <w:r>
        <w:rPr>
          <w:rFonts w:hint="eastAsia"/>
          <w:sz w:val="32"/>
          <w:szCs w:val="32"/>
        </w:rPr>
        <w:t>。项目</w:t>
      </w:r>
      <w:r>
        <w:rPr>
          <w:rFonts w:hint="eastAsia"/>
          <w:bCs/>
          <w:sz w:val="32"/>
          <w:szCs w:val="32"/>
        </w:rPr>
        <w:t>设计喷涂保温加工长度50千米/年。</w:t>
      </w:r>
      <w:r>
        <w:rPr>
          <w:rFonts w:hint="eastAsia"/>
          <w:sz w:val="32"/>
          <w:szCs w:val="32"/>
        </w:rPr>
        <w:t>项目总投资245万元人民币，其中环保投资35万元人民币，约占总投资的14.3%。</w:t>
      </w:r>
    </w:p>
    <w:p>
      <w:pPr>
        <w:pStyle w:val="8"/>
        <w:spacing w:line="360" w:lineRule="auto"/>
        <w:ind w:firstLine="662" w:firstLineChars="207"/>
        <w:rPr>
          <w:sz w:val="32"/>
          <w:szCs w:val="32"/>
        </w:rPr>
      </w:pPr>
      <w:r>
        <w:rPr>
          <w:sz w:val="32"/>
          <w:szCs w:val="32"/>
        </w:rPr>
        <w:t>20</w:t>
      </w:r>
      <w:r>
        <w:rPr>
          <w:rFonts w:hint="eastAsia"/>
          <w:sz w:val="32"/>
          <w:szCs w:val="32"/>
        </w:rPr>
        <w:t>23</w:t>
      </w:r>
      <w:r>
        <w:rPr>
          <w:sz w:val="32"/>
          <w:szCs w:val="32"/>
        </w:rPr>
        <w:t>年</w:t>
      </w:r>
      <w:r>
        <w:rPr>
          <w:rFonts w:hint="eastAsia"/>
          <w:sz w:val="32"/>
          <w:szCs w:val="32"/>
        </w:rPr>
        <w:t>7</w:t>
      </w:r>
      <w:r>
        <w:rPr>
          <w:sz w:val="32"/>
          <w:szCs w:val="32"/>
        </w:rPr>
        <w:t>月</w:t>
      </w:r>
      <w:r>
        <w:rPr>
          <w:rFonts w:hint="eastAsia"/>
          <w:sz w:val="32"/>
          <w:szCs w:val="32"/>
        </w:rPr>
        <w:t>21</w:t>
      </w:r>
      <w:r>
        <w:rPr>
          <w:sz w:val="32"/>
          <w:szCs w:val="32"/>
        </w:rPr>
        <w:t>日至</w:t>
      </w:r>
      <w:r>
        <w:rPr>
          <w:rFonts w:hint="eastAsia"/>
          <w:sz w:val="32"/>
          <w:szCs w:val="32"/>
        </w:rPr>
        <w:t>7</w:t>
      </w:r>
      <w:r>
        <w:rPr>
          <w:sz w:val="32"/>
          <w:szCs w:val="32"/>
        </w:rPr>
        <w:t>月</w:t>
      </w:r>
      <w:r>
        <w:rPr>
          <w:rFonts w:hint="eastAsia"/>
          <w:sz w:val="32"/>
          <w:szCs w:val="32"/>
        </w:rPr>
        <w:t>27</w:t>
      </w:r>
      <w:r>
        <w:rPr>
          <w:sz w:val="32"/>
          <w:szCs w:val="32"/>
        </w:rPr>
        <w:t>日，我局将该项目受理情况进行公示；</w:t>
      </w:r>
      <w:r>
        <w:rPr>
          <w:rFonts w:hint="eastAsia"/>
          <w:sz w:val="32"/>
          <w:szCs w:val="32"/>
        </w:rPr>
        <w:t>8</w:t>
      </w:r>
      <w:r>
        <w:rPr>
          <w:sz w:val="32"/>
          <w:szCs w:val="32"/>
        </w:rPr>
        <w:t>月</w:t>
      </w:r>
      <w:r>
        <w:rPr>
          <w:rFonts w:hint="eastAsia"/>
          <w:sz w:val="32"/>
          <w:szCs w:val="32"/>
        </w:rPr>
        <w:t>4日至8月10日</w:t>
      </w:r>
      <w:r>
        <w:rPr>
          <w:sz w:val="32"/>
          <w:szCs w:val="32"/>
        </w:rPr>
        <w:t>，将该项目拟批复情况进行公示；根据公众反馈意见情况及环评报告结论，在严格落实环评报告所提出的各项污染防治措施、确保各类污染物稳定达标的前提下，同意该项目建设。</w:t>
      </w:r>
    </w:p>
    <w:p>
      <w:pPr>
        <w:pStyle w:val="8"/>
        <w:spacing w:line="360" w:lineRule="auto"/>
        <w:ind w:firstLine="662" w:firstLineChars="207"/>
        <w:rPr>
          <w:sz w:val="32"/>
          <w:szCs w:val="32"/>
        </w:rPr>
      </w:pPr>
      <w:r>
        <w:rPr>
          <w:rFonts w:hint="eastAsia"/>
          <w:sz w:val="32"/>
          <w:szCs w:val="32"/>
        </w:rPr>
        <w:t>二</w:t>
      </w:r>
      <w:r>
        <w:rPr>
          <w:sz w:val="32"/>
          <w:szCs w:val="32"/>
        </w:rPr>
        <w:t>、项目</w:t>
      </w:r>
      <w:r>
        <w:rPr>
          <w:rFonts w:hint="eastAsia"/>
          <w:sz w:val="32"/>
          <w:szCs w:val="32"/>
        </w:rPr>
        <w:t>运营</w:t>
      </w:r>
      <w:r>
        <w:rPr>
          <w:sz w:val="32"/>
          <w:szCs w:val="32"/>
        </w:rPr>
        <w:t>过程中，你公司应重点做好以下工作：</w:t>
      </w:r>
    </w:p>
    <w:p>
      <w:pPr>
        <w:spacing w:line="360" w:lineRule="auto"/>
        <w:ind w:firstLine="640" w:firstLineChars="200"/>
        <w:rPr>
          <w:bCs/>
        </w:rPr>
      </w:pPr>
      <w:r>
        <w:t>1</w:t>
      </w:r>
      <w:r>
        <w:rPr>
          <w:rFonts w:hint="eastAsia"/>
        </w:rPr>
        <w:t>、</w:t>
      </w:r>
      <w:r>
        <w:rPr>
          <w:rFonts w:hint="eastAsia"/>
          <w:bCs/>
        </w:rPr>
        <w:t>项目喷涂发泡过程及喷涂机喷枪清洗过程产生的废气（污染因子为非甲烷总烃、TRVOC、MDI、PAPI、臭气浓度）</w:t>
      </w:r>
      <w:r>
        <w:rPr>
          <w:bCs/>
        </w:rPr>
        <w:t>经</w:t>
      </w:r>
      <w:r>
        <w:rPr>
          <w:rFonts w:hint="eastAsia"/>
          <w:bCs/>
        </w:rPr>
        <w:t xml:space="preserve">密闭负压隔间集中收集后通过管道进入新建 </w:t>
      </w:r>
      <w:r>
        <w:rPr>
          <w:bCs/>
        </w:rPr>
        <w:t xml:space="preserve">1 </w:t>
      </w:r>
      <w:r>
        <w:rPr>
          <w:rFonts w:hint="eastAsia"/>
          <w:bCs/>
        </w:rPr>
        <w:t>套“活性炭吸附</w:t>
      </w:r>
      <w:r>
        <w:rPr>
          <w:bCs/>
        </w:rPr>
        <w:t>-</w:t>
      </w:r>
      <w:r>
        <w:rPr>
          <w:rFonts w:hint="eastAsia"/>
          <w:bCs/>
        </w:rPr>
        <w:t xml:space="preserve">脱附催化燃烧”装置处理后通过 </w:t>
      </w:r>
      <w:r>
        <w:rPr>
          <w:bCs/>
        </w:rPr>
        <w:t xml:space="preserve">1 </w:t>
      </w:r>
      <w:r>
        <w:rPr>
          <w:rFonts w:hint="eastAsia"/>
          <w:bCs/>
        </w:rPr>
        <w:t xml:space="preserve">根 </w:t>
      </w:r>
      <w:r>
        <w:rPr>
          <w:bCs/>
        </w:rPr>
        <w:t xml:space="preserve">15m </w:t>
      </w:r>
      <w:r>
        <w:rPr>
          <w:rFonts w:hint="eastAsia"/>
          <w:bCs/>
        </w:rPr>
        <w:t>高排气筒 （</w:t>
      </w:r>
      <w:r>
        <w:rPr>
          <w:bCs/>
        </w:rPr>
        <w:t>P13</w:t>
      </w:r>
      <w:r>
        <w:rPr>
          <w:rFonts w:hint="eastAsia"/>
          <w:bCs/>
        </w:rPr>
        <w:t>）达标排放</w:t>
      </w:r>
      <w:r>
        <w:rPr>
          <w:rFonts w:hint="eastAsia"/>
        </w:rPr>
        <w:t>。</w:t>
      </w:r>
    </w:p>
    <w:p>
      <w:pPr>
        <w:spacing w:line="360" w:lineRule="auto"/>
        <w:ind w:firstLine="640" w:firstLineChars="200"/>
        <w:textAlignment w:val="baseline"/>
      </w:pPr>
      <w:r>
        <w:rPr>
          <w:rFonts w:hint="eastAsia"/>
        </w:rPr>
        <w:t>采取有效措施，减少废气无组织排放，防止</w:t>
      </w:r>
      <w:r>
        <w:rPr>
          <w:rFonts w:hint="eastAsia"/>
          <w:bCs/>
        </w:rPr>
        <w:t>非甲烷总烃、TRVOC、臭气浓度、</w:t>
      </w:r>
      <w:r>
        <w:rPr>
          <w:rFonts w:hint="eastAsia"/>
        </w:rPr>
        <w:t>颗粒物无组织排放对周边环境影响产生影响，确保达标排放。</w:t>
      </w:r>
    </w:p>
    <w:p>
      <w:pPr>
        <w:spacing w:line="360" w:lineRule="auto"/>
        <w:ind w:firstLine="640" w:firstLineChars="200"/>
      </w:pPr>
      <w:r>
        <w:rPr>
          <w:rFonts w:hint="eastAsia"/>
        </w:rPr>
        <w:t>2</w:t>
      </w:r>
      <w:r>
        <w:t>、</w:t>
      </w:r>
      <w:r>
        <w:rPr>
          <w:rFonts w:hint="eastAsia"/>
        </w:rPr>
        <w:t>项目无新增废水产生。</w:t>
      </w:r>
    </w:p>
    <w:p>
      <w:pPr>
        <w:spacing w:line="360" w:lineRule="auto"/>
        <w:ind w:firstLine="640" w:firstLineChars="200"/>
      </w:pPr>
      <w:r>
        <w:rPr>
          <w:rFonts w:hint="eastAsia"/>
        </w:rPr>
        <w:t>3、合理布局，选用低噪声设备，</w:t>
      </w:r>
      <w:r>
        <w:t>对产噪设备实施减振</w:t>
      </w:r>
      <w:r>
        <w:rPr>
          <w:rFonts w:hint="eastAsia"/>
        </w:rPr>
        <w:t>、消声、</w:t>
      </w:r>
      <w:r>
        <w:t>隔声等措施，确保厂界噪声达标。</w:t>
      </w:r>
    </w:p>
    <w:p>
      <w:pPr>
        <w:spacing w:line="360" w:lineRule="auto"/>
        <w:ind w:firstLine="640" w:firstLineChars="200"/>
        <w:textAlignment w:val="baseline"/>
        <w:rPr>
          <w:szCs w:val="20"/>
        </w:rPr>
      </w:pPr>
      <w:r>
        <w:rPr>
          <w:rFonts w:hint="eastAsia"/>
        </w:rPr>
        <w:t>4</w:t>
      </w:r>
      <w:r>
        <w:t>、</w:t>
      </w:r>
      <w:r>
        <w:rPr>
          <w:rFonts w:hint="eastAsia"/>
        </w:rPr>
        <w:t>做好各类固体废物的收集、贮存、运输和处置，做到资源化、减量化、无害化。</w:t>
      </w:r>
      <w:r>
        <w:rPr>
          <w:rFonts w:hint="eastAsia" w:ascii="仿宋_GB2312"/>
        </w:rPr>
        <w:t>项目生产过程中产生的废包装材料、废泡沫由物资回收部门定期回收，废催化剂交由厂家回收</w:t>
      </w:r>
      <w:r>
        <w:rPr>
          <w:rFonts w:hint="eastAsia"/>
        </w:rPr>
        <w:t>。清洗废液、废润滑油、沾染废物、废活性炭、废包装容器等</w:t>
      </w:r>
      <w:r>
        <w:rPr>
          <w:rFonts w:hint="eastAsia"/>
          <w:szCs w:val="20"/>
        </w:rPr>
        <w:t>危险废物交由有资质的单位进行处理处置；以上危险废物需按照《危险废物收集贮存运输技术规范》（</w:t>
      </w:r>
      <w:r>
        <w:rPr>
          <w:szCs w:val="20"/>
        </w:rPr>
        <w:t>HJ2025-2012</w:t>
      </w:r>
      <w:r>
        <w:rPr>
          <w:rFonts w:hint="eastAsia"/>
          <w:szCs w:val="20"/>
        </w:rPr>
        <w:t>）进行收集、贮存及运输；危险废物暂存库应按照《危险废物贮存污染控制标准》（</w:t>
      </w:r>
      <w:r>
        <w:rPr>
          <w:szCs w:val="20"/>
        </w:rPr>
        <w:t>GB18597-20</w:t>
      </w:r>
      <w:r>
        <w:rPr>
          <w:rFonts w:hint="eastAsia"/>
          <w:szCs w:val="20"/>
        </w:rPr>
        <w:t>23）进行完善和管理。</w:t>
      </w:r>
    </w:p>
    <w:p>
      <w:pPr>
        <w:spacing w:line="360" w:lineRule="auto"/>
        <w:ind w:firstLine="640" w:firstLineChars="200"/>
        <w:textAlignment w:val="baseline"/>
      </w:pPr>
      <w:r>
        <w:rPr>
          <w:rFonts w:hint="eastAsia"/>
        </w:rPr>
        <w:t>5</w:t>
      </w:r>
      <w:r>
        <w:t>、</w:t>
      </w:r>
      <w:r>
        <w:rPr>
          <w:rFonts w:hint="eastAsia"/>
        </w:rPr>
        <w:t>按照相关规定，做好排污口规范化工作，设置规范的采样点，悬挂符合要求的标识牌。</w:t>
      </w:r>
    </w:p>
    <w:p>
      <w:pPr>
        <w:spacing w:line="360" w:lineRule="auto"/>
        <w:ind w:firstLine="640" w:firstLineChars="200"/>
        <w:textAlignment w:val="baseline"/>
        <w:rPr>
          <w:rFonts w:ascii="仿宋_GB2312"/>
        </w:rPr>
      </w:pPr>
      <w:r>
        <w:rPr>
          <w:rFonts w:hint="eastAsia"/>
        </w:rPr>
        <w:t>6、</w:t>
      </w:r>
      <w:r>
        <w:rPr>
          <w:rFonts w:hint="eastAsia" w:ascii="仿宋_GB2312"/>
        </w:rPr>
        <w:t>强化日常管理，严格落实各项风险事故防范措施，做好环境突发环境事件应急预案修订和备案工作，杜绝发生环境事故和次生环境事故，防止事故造成的环境污染。</w:t>
      </w:r>
    </w:p>
    <w:p>
      <w:pPr>
        <w:spacing w:line="360" w:lineRule="auto"/>
        <w:ind w:firstLine="640" w:firstLineChars="200"/>
      </w:pPr>
      <w:r>
        <w:rPr>
          <w:rFonts w:hint="eastAsia"/>
        </w:rPr>
        <w:t>三、本项目实施后，主要污染物新增总量为VOC</w:t>
      </w:r>
      <w:r>
        <w:rPr>
          <w:rFonts w:hint="eastAsia"/>
          <w:vertAlign w:val="subscript"/>
        </w:rPr>
        <w:t>S</w:t>
      </w:r>
      <w:r>
        <w:rPr>
          <w:rFonts w:hint="eastAsia"/>
        </w:rPr>
        <w:t>0.3008t/a。根据区生态环境局《关于中海油能源发展股份有限公司清洁能源分公司聚氨酯保温材料喷涂项目新增VOC</w:t>
      </w:r>
      <w:r>
        <w:rPr>
          <w:rFonts w:hint="eastAsia"/>
          <w:vertAlign w:val="subscript"/>
        </w:rPr>
        <w:t>S</w:t>
      </w:r>
      <w:r>
        <w:rPr>
          <w:rFonts w:hint="eastAsia"/>
        </w:rPr>
        <w:t>总量来源的确认意见》，上述新增污染物总量指标均有来源。</w:t>
      </w:r>
    </w:p>
    <w:p>
      <w:pPr>
        <w:spacing w:line="360" w:lineRule="auto"/>
        <w:ind w:firstLine="640" w:firstLineChars="200"/>
        <w:textAlignment w:val="baseline"/>
      </w:pPr>
      <w:r>
        <w:rPr>
          <w:rFonts w:hint="eastAsia"/>
        </w:rPr>
        <w:t>四、</w:t>
      </w:r>
      <w:r>
        <w:t>项目建设应严格执行环境保护设施与主体工程同时设计、同时施工、同时投产使用的“三同时”管理制度。项目</w:t>
      </w:r>
      <w:r>
        <w:rPr>
          <w:rFonts w:hint="eastAsia"/>
        </w:rPr>
        <w:t>应</w:t>
      </w:r>
      <w:r>
        <w:t>按规定</w:t>
      </w:r>
      <w:r>
        <w:rPr>
          <w:rFonts w:hint="eastAsia"/>
        </w:rPr>
        <w:t>标准和</w:t>
      </w:r>
      <w:r>
        <w:t>程序</w:t>
      </w:r>
      <w:r>
        <w:rPr>
          <w:rFonts w:hint="eastAsia"/>
        </w:rPr>
        <w:t>开展</w:t>
      </w:r>
      <w:r>
        <w:t>环境保护验收，经验收合格后方可正式投入运营。</w:t>
      </w:r>
    </w:p>
    <w:p>
      <w:pPr>
        <w:pStyle w:val="8"/>
        <w:spacing w:line="360" w:lineRule="auto"/>
        <w:ind w:firstLine="662" w:firstLineChars="207"/>
        <w:rPr>
          <w:sz w:val="32"/>
          <w:szCs w:val="32"/>
        </w:rPr>
      </w:pPr>
      <w:r>
        <w:rPr>
          <w:rFonts w:hint="eastAsia"/>
          <w:sz w:val="32"/>
          <w:szCs w:val="32"/>
        </w:rPr>
        <w:t>五</w:t>
      </w:r>
      <w:r>
        <w:rPr>
          <w:sz w:val="32"/>
          <w:szCs w:val="32"/>
        </w:rPr>
        <w:t>、若建设项目发生重大变动，</w:t>
      </w:r>
      <w:r>
        <w:rPr>
          <w:rFonts w:hint="eastAsia"/>
          <w:sz w:val="32"/>
          <w:szCs w:val="32"/>
        </w:rPr>
        <w:t>需</w:t>
      </w:r>
      <w:r>
        <w:rPr>
          <w:sz w:val="32"/>
          <w:szCs w:val="32"/>
        </w:rPr>
        <w:t>重新报批建设项目的环境影响评价文件。</w:t>
      </w:r>
    </w:p>
    <w:p>
      <w:pPr>
        <w:pStyle w:val="8"/>
        <w:spacing w:line="360" w:lineRule="auto"/>
        <w:ind w:firstLine="662" w:firstLineChars="207"/>
        <w:rPr>
          <w:sz w:val="32"/>
          <w:szCs w:val="32"/>
        </w:rPr>
      </w:pPr>
      <w:r>
        <w:rPr>
          <w:rFonts w:hint="eastAsia"/>
          <w:sz w:val="32"/>
          <w:szCs w:val="32"/>
        </w:rPr>
        <w:t>六、你公司应</w:t>
      </w:r>
      <w:r>
        <w:rPr>
          <w:rFonts w:hint="eastAsia" w:ascii="仿宋_GB2312" w:cs="仿宋_GB2312"/>
          <w:sz w:val="32"/>
          <w:szCs w:val="32"/>
          <w:shd w:val="clear" w:color="auto" w:fill="FFFFFF"/>
        </w:rPr>
        <w:t>在启动生产设施或者在实际排污之前按照法律法规要求做好排污许可管理相关工作。</w:t>
      </w:r>
    </w:p>
    <w:p>
      <w:pPr>
        <w:pStyle w:val="8"/>
        <w:spacing w:line="360" w:lineRule="auto"/>
        <w:ind w:firstLine="662" w:firstLineChars="207"/>
        <w:rPr>
          <w:sz w:val="32"/>
          <w:szCs w:val="32"/>
        </w:rPr>
      </w:pPr>
      <w:r>
        <w:rPr>
          <w:rFonts w:hint="eastAsia"/>
          <w:sz w:val="32"/>
          <w:szCs w:val="32"/>
        </w:rPr>
        <w:t>七、</w:t>
      </w:r>
      <w:r>
        <w:rPr>
          <w:sz w:val="32"/>
          <w:szCs w:val="32"/>
        </w:rPr>
        <w:t>项目应执行以下标准：</w:t>
      </w:r>
    </w:p>
    <w:p>
      <w:pPr>
        <w:spacing w:line="360" w:lineRule="auto"/>
        <w:ind w:firstLine="640" w:firstLineChars="200"/>
      </w:pPr>
      <w:r>
        <w:rPr>
          <w:rFonts w:hint="eastAsia"/>
        </w:rPr>
        <w:t>1、《工业企业挥发性有机物排放控制标准》（DB12/524-2020）；</w:t>
      </w:r>
    </w:p>
    <w:p>
      <w:pPr>
        <w:pStyle w:val="8"/>
        <w:spacing w:line="360" w:lineRule="auto"/>
        <w:ind w:firstLine="640" w:firstLineChars="200"/>
        <w:rPr>
          <w:sz w:val="32"/>
          <w:szCs w:val="32"/>
        </w:rPr>
      </w:pPr>
      <w:r>
        <w:rPr>
          <w:rFonts w:hint="eastAsia"/>
          <w:sz w:val="32"/>
          <w:szCs w:val="32"/>
        </w:rPr>
        <w:t>2、《恶臭污染物排放标准》（DB12/-059-2018）；</w:t>
      </w:r>
    </w:p>
    <w:p>
      <w:pPr>
        <w:pStyle w:val="8"/>
        <w:spacing w:line="360" w:lineRule="auto"/>
        <w:ind w:firstLine="640" w:firstLineChars="200"/>
        <w:rPr>
          <w:sz w:val="32"/>
          <w:szCs w:val="32"/>
        </w:rPr>
      </w:pPr>
      <w:r>
        <w:rPr>
          <w:rFonts w:hint="eastAsia"/>
          <w:sz w:val="32"/>
          <w:szCs w:val="32"/>
        </w:rPr>
        <w:t>3、</w:t>
      </w:r>
      <w:r>
        <w:rPr>
          <w:rFonts w:hint="eastAsia"/>
          <w:bCs/>
          <w:sz w:val="32"/>
          <w:szCs w:val="32"/>
        </w:rPr>
        <w:t>《合成树脂工业污染物排放标准》（GB31572-2015）；</w:t>
      </w:r>
    </w:p>
    <w:p>
      <w:pPr>
        <w:pStyle w:val="8"/>
        <w:spacing w:line="360" w:lineRule="auto"/>
        <w:ind w:firstLine="640" w:firstLineChars="200"/>
        <w:rPr>
          <w:sz w:val="32"/>
          <w:szCs w:val="32"/>
        </w:rPr>
      </w:pPr>
      <w:r>
        <w:rPr>
          <w:rFonts w:hint="eastAsia"/>
          <w:sz w:val="32"/>
          <w:szCs w:val="32"/>
        </w:rPr>
        <w:t>4、</w:t>
      </w:r>
      <w:r>
        <w:rPr>
          <w:sz w:val="32"/>
          <w:szCs w:val="32"/>
        </w:rPr>
        <w:t>《工业企业厂界环境噪声排放标准》(GB12348-2008)</w:t>
      </w:r>
      <w:r>
        <w:rPr>
          <w:rFonts w:hint="eastAsia"/>
          <w:sz w:val="32"/>
          <w:szCs w:val="32"/>
        </w:rPr>
        <w:t>3</w:t>
      </w:r>
      <w:r>
        <w:rPr>
          <w:sz w:val="32"/>
          <w:szCs w:val="32"/>
        </w:rPr>
        <w:t>类；</w:t>
      </w:r>
    </w:p>
    <w:p>
      <w:pPr>
        <w:pStyle w:val="8"/>
        <w:spacing w:line="360" w:lineRule="auto"/>
        <w:ind w:firstLine="662" w:firstLineChars="207"/>
        <w:rPr>
          <w:sz w:val="32"/>
          <w:szCs w:val="32"/>
        </w:rPr>
      </w:pPr>
      <w:r>
        <w:rPr>
          <w:rFonts w:hint="eastAsia"/>
          <w:sz w:val="32"/>
          <w:szCs w:val="32"/>
        </w:rPr>
        <w:t>5、</w:t>
      </w:r>
      <w:r>
        <w:rPr>
          <w:sz w:val="32"/>
          <w:szCs w:val="32"/>
        </w:rPr>
        <w:t>《危险废物贮存污染控制标准》（GB18597-20</w:t>
      </w:r>
      <w:r>
        <w:rPr>
          <w:rFonts w:hint="eastAsia"/>
          <w:sz w:val="32"/>
          <w:szCs w:val="32"/>
        </w:rPr>
        <w:t>23</w:t>
      </w:r>
      <w:r>
        <w:rPr>
          <w:sz w:val="32"/>
          <w:szCs w:val="32"/>
        </w:rPr>
        <w:t>）</w:t>
      </w:r>
      <w:r>
        <w:rPr>
          <w:rFonts w:hint="eastAsia"/>
          <w:sz w:val="32"/>
          <w:szCs w:val="32"/>
        </w:rPr>
        <w:t>；</w:t>
      </w:r>
    </w:p>
    <w:p>
      <w:pPr>
        <w:pStyle w:val="8"/>
        <w:spacing w:line="360" w:lineRule="auto"/>
        <w:ind w:firstLine="662" w:firstLineChars="207"/>
        <w:rPr>
          <w:sz w:val="32"/>
          <w:szCs w:val="32"/>
        </w:rPr>
      </w:pPr>
      <w:r>
        <w:rPr>
          <w:rFonts w:hint="eastAsia"/>
          <w:sz w:val="32"/>
          <w:szCs w:val="32"/>
        </w:rPr>
        <w:t>6、《一般工业固体废物贮存和填埋污染控制标准》（GB18599-</w:t>
      </w:r>
    </w:p>
    <w:p>
      <w:pPr>
        <w:pStyle w:val="8"/>
        <w:spacing w:line="360" w:lineRule="auto"/>
        <w:rPr>
          <w:sz w:val="32"/>
          <w:szCs w:val="32"/>
        </w:rPr>
      </w:pPr>
      <w:r>
        <w:rPr>
          <w:rFonts w:hint="eastAsia"/>
          <w:sz w:val="32"/>
          <w:szCs w:val="32"/>
        </w:rPr>
        <w:t>2020）。</w:t>
      </w:r>
    </w:p>
    <w:p>
      <w:pPr>
        <w:pStyle w:val="8"/>
        <w:spacing w:line="360" w:lineRule="auto"/>
        <w:ind w:firstLine="662" w:firstLineChars="207"/>
        <w:rPr>
          <w:sz w:val="32"/>
          <w:szCs w:val="32"/>
        </w:rPr>
      </w:pPr>
      <w:r>
        <w:rPr>
          <w:sz w:val="32"/>
          <w:szCs w:val="32"/>
        </w:rPr>
        <w:t>此复</w:t>
      </w:r>
    </w:p>
    <w:p>
      <w:pPr>
        <w:pStyle w:val="8"/>
        <w:spacing w:line="360" w:lineRule="auto"/>
        <w:ind w:firstLine="662" w:firstLineChars="207"/>
        <w:rPr>
          <w:sz w:val="32"/>
          <w:szCs w:val="32"/>
        </w:rPr>
      </w:pPr>
    </w:p>
    <w:p>
      <w:pPr>
        <w:pStyle w:val="8"/>
        <w:spacing w:line="360" w:lineRule="auto"/>
        <w:ind w:firstLine="662" w:firstLineChars="207"/>
        <w:rPr>
          <w:sz w:val="32"/>
          <w:szCs w:val="32"/>
        </w:rPr>
      </w:pPr>
    </w:p>
    <w:p>
      <w:pPr>
        <w:spacing w:line="360" w:lineRule="auto"/>
        <w:jc w:val="right"/>
      </w:pPr>
    </w:p>
    <w:p>
      <w:pPr>
        <w:wordWrap w:val="0"/>
        <w:spacing w:line="360" w:lineRule="auto"/>
        <w:jc w:val="right"/>
      </w:pPr>
      <w:r>
        <w:t>20</w:t>
      </w:r>
      <w:r>
        <w:rPr>
          <w:rFonts w:hint="eastAsia"/>
        </w:rPr>
        <w:t>23</w:t>
      </w:r>
      <w:r>
        <w:t>年</w:t>
      </w:r>
      <w:r>
        <w:rPr>
          <w:rFonts w:hint="eastAsia"/>
        </w:rPr>
        <w:t>8</w:t>
      </w:r>
      <w:r>
        <w:t>月</w:t>
      </w:r>
      <w:r>
        <w:rPr>
          <w:rFonts w:hint="eastAsia"/>
        </w:rPr>
        <w:t>11</w:t>
      </w:r>
      <w:r>
        <w:t>日</w:t>
      </w:r>
      <w:r>
        <w:rPr>
          <w:rFonts w:hint="eastAsia"/>
        </w:rPr>
        <w:t xml:space="preserve">        </w:t>
      </w:r>
    </w:p>
    <w:p>
      <w:pPr>
        <w:wordWrap w:val="0"/>
        <w:spacing w:line="360" w:lineRule="auto"/>
        <w:jc w:val="right"/>
      </w:pPr>
    </w:p>
    <w:p>
      <w:pPr>
        <w:spacing w:line="360" w:lineRule="auto"/>
        <w:jc w:val="right"/>
      </w:pPr>
    </w:p>
    <w:p>
      <w:pPr>
        <w:spacing w:line="360" w:lineRule="auto"/>
        <w:jc w:val="right"/>
      </w:pPr>
    </w:p>
    <w:p>
      <w:pPr>
        <w:wordWrap w:val="0"/>
        <w:spacing w:line="360" w:lineRule="auto"/>
        <w:jc w:val="right"/>
      </w:pPr>
    </w:p>
    <w:p>
      <w:pPr>
        <w:wordWrap w:val="0"/>
        <w:spacing w:line="360" w:lineRule="auto"/>
        <w:jc w:val="right"/>
      </w:pPr>
    </w:p>
    <w:p>
      <w:pPr>
        <w:spacing w:line="360" w:lineRule="auto"/>
        <w:ind w:right="640"/>
        <w:jc w:val="right"/>
      </w:pPr>
    </w:p>
    <w:p>
      <w:pPr>
        <w:spacing w:line="360" w:lineRule="auto"/>
        <w:ind w:right="640"/>
        <w:jc w:val="right"/>
      </w:pPr>
    </w:p>
    <w:p>
      <w:r>
        <w:rPr>
          <w:rFonts w:eastAsia="黑体"/>
        </w:rPr>
        <w:t>主题词：</w:t>
      </w:r>
      <w:r>
        <w:t>环境影响 报告表 批复                （共印</w:t>
      </w:r>
      <w:r>
        <w:rPr>
          <w:rFonts w:hint="eastAsia"/>
        </w:rPr>
        <w:t>3</w:t>
      </w:r>
      <w: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42"/>
        <w:gridCol w:w="3922"/>
        <w:gridCol w:w="3890"/>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1242" w:type="dxa"/>
            <w:tcBorders>
              <w:top w:val="single" w:color="auto" w:sz="8" w:space="0"/>
              <w:bottom w:val="single" w:color="auto" w:sz="8" w:space="0"/>
            </w:tcBorders>
          </w:tcPr>
          <w:p>
            <w:pPr>
              <w:ind w:right="160"/>
              <w:jc w:val="right"/>
              <w:rPr>
                <w:rFonts w:eastAsia="黑体"/>
              </w:rPr>
            </w:pPr>
            <w:r>
              <w:rPr>
                <w:rFonts w:eastAsia="黑体"/>
              </w:rPr>
              <w:t>抄送：</w:t>
            </w:r>
          </w:p>
        </w:tc>
        <w:tc>
          <w:tcPr>
            <w:tcW w:w="7812" w:type="dxa"/>
            <w:gridSpan w:val="2"/>
            <w:tcBorders>
              <w:top w:val="single" w:color="auto" w:sz="8" w:space="0"/>
              <w:bottom w:val="single" w:color="auto" w:sz="8" w:space="0"/>
            </w:tcBorders>
          </w:tcPr>
          <w:p>
            <w:r>
              <w:t>天津市滨海新区</w:t>
            </w:r>
            <w:r>
              <w:rPr>
                <w:rFonts w:hint="eastAsia"/>
              </w:rPr>
              <w:t>生态</w:t>
            </w:r>
            <w:r>
              <w:t>环境局</w:t>
            </w:r>
          </w:p>
        </w:tc>
      </w:tr>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5164" w:type="dxa"/>
            <w:gridSpan w:val="2"/>
            <w:tcBorders>
              <w:top w:val="single" w:color="auto" w:sz="8" w:space="0"/>
            </w:tcBorders>
          </w:tcPr>
          <w:p>
            <w:r>
              <w:rPr>
                <w:rFonts w:hint="eastAsia"/>
              </w:rPr>
              <w:t>天津市滨海新区行政审批局</w:t>
            </w:r>
          </w:p>
        </w:tc>
        <w:tc>
          <w:tcPr>
            <w:tcW w:w="3890" w:type="dxa"/>
            <w:tcBorders>
              <w:top w:val="single" w:color="auto" w:sz="8" w:space="0"/>
            </w:tcBorders>
          </w:tcPr>
          <w:p>
            <w:pPr>
              <w:wordWrap w:val="0"/>
              <w:ind w:right="320" w:rightChars="100"/>
              <w:jc w:val="right"/>
            </w:pPr>
            <w:r>
              <w:t>20</w:t>
            </w:r>
            <w:r>
              <w:rPr>
                <w:rFonts w:hint="eastAsia"/>
              </w:rPr>
              <w:t>23</w:t>
            </w:r>
            <w:r>
              <w:t>年</w:t>
            </w:r>
            <w:r>
              <w:rPr>
                <w:rFonts w:hint="eastAsia"/>
              </w:rPr>
              <w:t>8月11</w:t>
            </w:r>
            <w:r>
              <w:t>日印发</w:t>
            </w:r>
          </w:p>
        </w:tc>
      </w:tr>
    </w:tbl>
    <w:p>
      <w:pPr>
        <w:pStyle w:val="8"/>
        <w:spacing w:line="360" w:lineRule="auto"/>
        <w:ind w:firstLine="496" w:firstLineChars="207"/>
      </w:pP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4B9D"/>
    <w:rsid w:val="000000ED"/>
    <w:rsid w:val="00017EFA"/>
    <w:rsid w:val="00021047"/>
    <w:rsid w:val="00032953"/>
    <w:rsid w:val="000548CC"/>
    <w:rsid w:val="00062FED"/>
    <w:rsid w:val="00063BE2"/>
    <w:rsid w:val="00077ADA"/>
    <w:rsid w:val="00080A98"/>
    <w:rsid w:val="0008666F"/>
    <w:rsid w:val="000931B0"/>
    <w:rsid w:val="0009352D"/>
    <w:rsid w:val="00097DA8"/>
    <w:rsid w:val="000D2113"/>
    <w:rsid w:val="000E069B"/>
    <w:rsid w:val="000E209C"/>
    <w:rsid w:val="000F7EEF"/>
    <w:rsid w:val="0011736F"/>
    <w:rsid w:val="00144568"/>
    <w:rsid w:val="00155A9A"/>
    <w:rsid w:val="001602A8"/>
    <w:rsid w:val="00161DA3"/>
    <w:rsid w:val="0016228C"/>
    <w:rsid w:val="001708D6"/>
    <w:rsid w:val="0019193B"/>
    <w:rsid w:val="001A21BB"/>
    <w:rsid w:val="001B1F32"/>
    <w:rsid w:val="001C71C4"/>
    <w:rsid w:val="001D0C9C"/>
    <w:rsid w:val="001E44A6"/>
    <w:rsid w:val="002014D5"/>
    <w:rsid w:val="00203B29"/>
    <w:rsid w:val="00210B83"/>
    <w:rsid w:val="00226BCD"/>
    <w:rsid w:val="0023092E"/>
    <w:rsid w:val="00236816"/>
    <w:rsid w:val="002368F2"/>
    <w:rsid w:val="0024430E"/>
    <w:rsid w:val="00254D33"/>
    <w:rsid w:val="00261B2D"/>
    <w:rsid w:val="00272EC7"/>
    <w:rsid w:val="00275DD8"/>
    <w:rsid w:val="00282601"/>
    <w:rsid w:val="00282F98"/>
    <w:rsid w:val="002858A4"/>
    <w:rsid w:val="0028751D"/>
    <w:rsid w:val="002A61D2"/>
    <w:rsid w:val="002D4DA6"/>
    <w:rsid w:val="002D7082"/>
    <w:rsid w:val="002E2F7C"/>
    <w:rsid w:val="002E48BE"/>
    <w:rsid w:val="002E692F"/>
    <w:rsid w:val="003158D9"/>
    <w:rsid w:val="003276C0"/>
    <w:rsid w:val="00330A22"/>
    <w:rsid w:val="003363B2"/>
    <w:rsid w:val="00346E41"/>
    <w:rsid w:val="00371D93"/>
    <w:rsid w:val="00373B1A"/>
    <w:rsid w:val="00374E8D"/>
    <w:rsid w:val="00380065"/>
    <w:rsid w:val="00385962"/>
    <w:rsid w:val="00395C48"/>
    <w:rsid w:val="003A0AF9"/>
    <w:rsid w:val="003A397F"/>
    <w:rsid w:val="003A3EBD"/>
    <w:rsid w:val="003C657C"/>
    <w:rsid w:val="003D7B4C"/>
    <w:rsid w:val="003E18B7"/>
    <w:rsid w:val="0040020E"/>
    <w:rsid w:val="00404088"/>
    <w:rsid w:val="00410313"/>
    <w:rsid w:val="0041139B"/>
    <w:rsid w:val="004116BC"/>
    <w:rsid w:val="004206D8"/>
    <w:rsid w:val="00427887"/>
    <w:rsid w:val="00431B4A"/>
    <w:rsid w:val="00453752"/>
    <w:rsid w:val="004654DC"/>
    <w:rsid w:val="00495B78"/>
    <w:rsid w:val="004969DE"/>
    <w:rsid w:val="004A5F7D"/>
    <w:rsid w:val="004A6FFF"/>
    <w:rsid w:val="004B1790"/>
    <w:rsid w:val="004B1B4C"/>
    <w:rsid w:val="004B1D77"/>
    <w:rsid w:val="004B6CF6"/>
    <w:rsid w:val="004F27D1"/>
    <w:rsid w:val="00520063"/>
    <w:rsid w:val="005326ED"/>
    <w:rsid w:val="00535942"/>
    <w:rsid w:val="005413E6"/>
    <w:rsid w:val="005537B6"/>
    <w:rsid w:val="00553D2F"/>
    <w:rsid w:val="00575674"/>
    <w:rsid w:val="00585DE1"/>
    <w:rsid w:val="005860F7"/>
    <w:rsid w:val="00597D45"/>
    <w:rsid w:val="005A58A9"/>
    <w:rsid w:val="005A6D2D"/>
    <w:rsid w:val="005B1982"/>
    <w:rsid w:val="005B2AAF"/>
    <w:rsid w:val="005B41CB"/>
    <w:rsid w:val="005E1F3E"/>
    <w:rsid w:val="005E4B9D"/>
    <w:rsid w:val="005F2674"/>
    <w:rsid w:val="005F4F6F"/>
    <w:rsid w:val="00611936"/>
    <w:rsid w:val="00635419"/>
    <w:rsid w:val="00637D80"/>
    <w:rsid w:val="00641676"/>
    <w:rsid w:val="00644BE7"/>
    <w:rsid w:val="0065312E"/>
    <w:rsid w:val="006618CE"/>
    <w:rsid w:val="00672AB5"/>
    <w:rsid w:val="006814DD"/>
    <w:rsid w:val="00687F41"/>
    <w:rsid w:val="0069481E"/>
    <w:rsid w:val="006952E6"/>
    <w:rsid w:val="006A3CA1"/>
    <w:rsid w:val="006B0572"/>
    <w:rsid w:val="006C386A"/>
    <w:rsid w:val="006C5EDA"/>
    <w:rsid w:val="006C666D"/>
    <w:rsid w:val="006C6966"/>
    <w:rsid w:val="006C7509"/>
    <w:rsid w:val="006D0535"/>
    <w:rsid w:val="0070112D"/>
    <w:rsid w:val="00744299"/>
    <w:rsid w:val="00745C96"/>
    <w:rsid w:val="00746C49"/>
    <w:rsid w:val="00764376"/>
    <w:rsid w:val="00770B78"/>
    <w:rsid w:val="00783770"/>
    <w:rsid w:val="007838F6"/>
    <w:rsid w:val="00783B90"/>
    <w:rsid w:val="00785125"/>
    <w:rsid w:val="007937C9"/>
    <w:rsid w:val="007A22B2"/>
    <w:rsid w:val="007A42BF"/>
    <w:rsid w:val="007C49A0"/>
    <w:rsid w:val="007C5CCE"/>
    <w:rsid w:val="007C7DD3"/>
    <w:rsid w:val="007F3A11"/>
    <w:rsid w:val="007F45F1"/>
    <w:rsid w:val="007F7F4B"/>
    <w:rsid w:val="00836613"/>
    <w:rsid w:val="00854762"/>
    <w:rsid w:val="0088082E"/>
    <w:rsid w:val="0089128F"/>
    <w:rsid w:val="008B3585"/>
    <w:rsid w:val="008B4AD7"/>
    <w:rsid w:val="008B64A3"/>
    <w:rsid w:val="008B7F60"/>
    <w:rsid w:val="008D2D84"/>
    <w:rsid w:val="008E7A7C"/>
    <w:rsid w:val="00915B0E"/>
    <w:rsid w:val="009171AC"/>
    <w:rsid w:val="00922162"/>
    <w:rsid w:val="009329D7"/>
    <w:rsid w:val="0093523F"/>
    <w:rsid w:val="009405B8"/>
    <w:rsid w:val="00943995"/>
    <w:rsid w:val="00960614"/>
    <w:rsid w:val="00962EEA"/>
    <w:rsid w:val="00971CA7"/>
    <w:rsid w:val="00975A90"/>
    <w:rsid w:val="00983896"/>
    <w:rsid w:val="009A01DB"/>
    <w:rsid w:val="009A26A1"/>
    <w:rsid w:val="009A38D1"/>
    <w:rsid w:val="009A6638"/>
    <w:rsid w:val="009B1E5A"/>
    <w:rsid w:val="009B3B1A"/>
    <w:rsid w:val="009C2978"/>
    <w:rsid w:val="009D0145"/>
    <w:rsid w:val="009D5CD3"/>
    <w:rsid w:val="009E34EE"/>
    <w:rsid w:val="00A17D40"/>
    <w:rsid w:val="00A270E7"/>
    <w:rsid w:val="00A34B9F"/>
    <w:rsid w:val="00A373B9"/>
    <w:rsid w:val="00A46A05"/>
    <w:rsid w:val="00A47243"/>
    <w:rsid w:val="00A51802"/>
    <w:rsid w:val="00A62405"/>
    <w:rsid w:val="00A6581B"/>
    <w:rsid w:val="00A77D33"/>
    <w:rsid w:val="00A820B7"/>
    <w:rsid w:val="00A87865"/>
    <w:rsid w:val="00A87B5F"/>
    <w:rsid w:val="00AA23AE"/>
    <w:rsid w:val="00AA52FC"/>
    <w:rsid w:val="00AB5754"/>
    <w:rsid w:val="00AC0878"/>
    <w:rsid w:val="00AC6C81"/>
    <w:rsid w:val="00AC7766"/>
    <w:rsid w:val="00AD4B10"/>
    <w:rsid w:val="00AD5519"/>
    <w:rsid w:val="00AE2071"/>
    <w:rsid w:val="00AE212F"/>
    <w:rsid w:val="00AE3626"/>
    <w:rsid w:val="00AE466E"/>
    <w:rsid w:val="00AF1EA3"/>
    <w:rsid w:val="00B01A96"/>
    <w:rsid w:val="00B13FB6"/>
    <w:rsid w:val="00B27964"/>
    <w:rsid w:val="00B31641"/>
    <w:rsid w:val="00B3691B"/>
    <w:rsid w:val="00B37379"/>
    <w:rsid w:val="00B50ADE"/>
    <w:rsid w:val="00B56AAE"/>
    <w:rsid w:val="00B70DC0"/>
    <w:rsid w:val="00B739DA"/>
    <w:rsid w:val="00B7639D"/>
    <w:rsid w:val="00BA02E4"/>
    <w:rsid w:val="00BA2C98"/>
    <w:rsid w:val="00BB5C48"/>
    <w:rsid w:val="00BE38C8"/>
    <w:rsid w:val="00BE56E3"/>
    <w:rsid w:val="00BF5079"/>
    <w:rsid w:val="00BF708D"/>
    <w:rsid w:val="00BF77C8"/>
    <w:rsid w:val="00C2482D"/>
    <w:rsid w:val="00C24C19"/>
    <w:rsid w:val="00C26759"/>
    <w:rsid w:val="00C30601"/>
    <w:rsid w:val="00C31F63"/>
    <w:rsid w:val="00C7078B"/>
    <w:rsid w:val="00C74B54"/>
    <w:rsid w:val="00C76135"/>
    <w:rsid w:val="00C76B70"/>
    <w:rsid w:val="00CD60AB"/>
    <w:rsid w:val="00CE3A5A"/>
    <w:rsid w:val="00CE50C2"/>
    <w:rsid w:val="00CE727D"/>
    <w:rsid w:val="00D030F5"/>
    <w:rsid w:val="00D0342B"/>
    <w:rsid w:val="00D043CF"/>
    <w:rsid w:val="00D076E0"/>
    <w:rsid w:val="00D1177B"/>
    <w:rsid w:val="00D2190F"/>
    <w:rsid w:val="00D43CA3"/>
    <w:rsid w:val="00D43EFC"/>
    <w:rsid w:val="00D5178D"/>
    <w:rsid w:val="00D52B0E"/>
    <w:rsid w:val="00D60F28"/>
    <w:rsid w:val="00D74BAE"/>
    <w:rsid w:val="00D949FB"/>
    <w:rsid w:val="00D950F8"/>
    <w:rsid w:val="00DA04A6"/>
    <w:rsid w:val="00DA353D"/>
    <w:rsid w:val="00DC203A"/>
    <w:rsid w:val="00DC389F"/>
    <w:rsid w:val="00DC4A11"/>
    <w:rsid w:val="00DD25A3"/>
    <w:rsid w:val="00DE4BE6"/>
    <w:rsid w:val="00DE7299"/>
    <w:rsid w:val="00DE780B"/>
    <w:rsid w:val="00DF4F33"/>
    <w:rsid w:val="00DF7F22"/>
    <w:rsid w:val="00E22F90"/>
    <w:rsid w:val="00E312EA"/>
    <w:rsid w:val="00E504D9"/>
    <w:rsid w:val="00E50BAF"/>
    <w:rsid w:val="00E63B55"/>
    <w:rsid w:val="00E73A6B"/>
    <w:rsid w:val="00E765CB"/>
    <w:rsid w:val="00E95586"/>
    <w:rsid w:val="00EA7883"/>
    <w:rsid w:val="00EC51BA"/>
    <w:rsid w:val="00EE1F06"/>
    <w:rsid w:val="00F03EC2"/>
    <w:rsid w:val="00F142DC"/>
    <w:rsid w:val="00F25796"/>
    <w:rsid w:val="00F41FB0"/>
    <w:rsid w:val="00F435C6"/>
    <w:rsid w:val="00F62653"/>
    <w:rsid w:val="00F74308"/>
    <w:rsid w:val="00FD09DA"/>
    <w:rsid w:val="00FD223C"/>
    <w:rsid w:val="00FD747E"/>
    <w:rsid w:val="00FF0A5F"/>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 w:val="D5EEC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sz w:val="21"/>
      <w:szCs w:val="24"/>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eastAsia="仿宋_GB2312"/>
      <w:kern w:val="2"/>
      <w:sz w:val="18"/>
      <w:szCs w:val="18"/>
    </w:rPr>
  </w:style>
  <w:style w:type="paragraph" w:customStyle="1" w:styleId="8">
    <w:name w:val="中文报告书样式"/>
    <w:basedOn w:val="1"/>
    <w:link w:val="9"/>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9">
    <w:name w:val="中文报告书样式 Char1"/>
    <w:basedOn w:val="6"/>
    <w:link w:val="8"/>
    <w:qFormat/>
    <w:locked/>
    <w:uiPriority w:val="0"/>
    <w:rPr>
      <w:rFonts w:ascii="Times New Roman" w:hAnsi="Times New Roman" w:eastAsia="仿宋_GB2312"/>
      <w:kern w:val="24"/>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266</Words>
  <Characters>1518</Characters>
  <Lines>12</Lines>
  <Paragraphs>3</Paragraphs>
  <TotalTime>1092</TotalTime>
  <ScaleCrop>false</ScaleCrop>
  <LinksUpToDate>false</LinksUpToDate>
  <CharactersWithSpaces>1781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2017-08-16T10:57:00Z</dcterms:created>
  <dc:creator>Administrator</dc:creator>
  <cp:lastModifiedBy>许微</cp:lastModifiedBy>
  <cp:lastPrinted>2023-07-31T08:50:00Z</cp:lastPrinted>
  <dcterms:modified xsi:type="dcterms:W3CDTF">2023-08-21T14:34:05Z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