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pPr>
    </w:p>
    <w:p>
      <w:pPr>
        <w:spacing w:line="360" w:lineRule="auto"/>
      </w:pPr>
    </w:p>
    <w:p/>
    <w:p>
      <w:pPr>
        <w:spacing w:line="360" w:lineRule="auto"/>
        <w:jc w:val="center"/>
        <w:rPr>
          <w:rFonts w:ascii="仿宋_GB2312"/>
        </w:rPr>
      </w:pPr>
    </w:p>
    <w:p>
      <w:pPr>
        <w:autoSpaceDE w:val="0"/>
        <w:autoSpaceDN w:val="0"/>
        <w:jc w:val="center"/>
        <w:rPr>
          <w:rFonts w:ascii="Times New Roman" w:hAnsi="Times New Roman"/>
        </w:rPr>
      </w:pPr>
      <w:r>
        <w:rPr>
          <w:rFonts w:hint="eastAsia" w:ascii="Times New Roman" w:hAnsi="Times New Roman"/>
          <w:lang w:val="zh-CN"/>
        </w:rPr>
        <w:t xml:space="preserve">津滨审批二室准〔2023〕29号 </w:t>
      </w:r>
    </w:p>
    <w:p>
      <w:pPr>
        <w:spacing w:line="600" w:lineRule="exact"/>
        <w:jc w:val="center"/>
        <w:rPr>
          <w:b/>
          <w:color w:val="000000"/>
          <w:sz w:val="44"/>
        </w:rPr>
      </w:pPr>
    </w:p>
    <w:p>
      <w:pPr>
        <w:pStyle w:val="7"/>
        <w:spacing w:line="600" w:lineRule="exact"/>
        <w:jc w:val="center"/>
        <w:rPr>
          <w:rFonts w:eastAsia="方正小标宋简体"/>
          <w:color w:val="000000"/>
          <w:sz w:val="44"/>
        </w:rPr>
      </w:pPr>
      <w:r>
        <w:rPr>
          <w:rFonts w:hint="eastAsia" w:eastAsia="方正小标宋简体"/>
          <w:color w:val="000000"/>
          <w:sz w:val="44"/>
        </w:rPr>
        <w:t>关于华尊玻璃扩建生产线项目</w:t>
      </w:r>
    </w:p>
    <w:p>
      <w:pPr>
        <w:pStyle w:val="7"/>
        <w:spacing w:line="600" w:lineRule="exact"/>
        <w:jc w:val="center"/>
        <w:rPr>
          <w:rFonts w:eastAsia="方正小标宋简体"/>
          <w:color w:val="000000"/>
          <w:sz w:val="44"/>
        </w:rPr>
      </w:pPr>
      <w:r>
        <w:rPr>
          <w:rFonts w:eastAsia="方正小标宋简体"/>
          <w:color w:val="000000"/>
          <w:sz w:val="44"/>
        </w:rPr>
        <w:t>环境影响报告表的批复</w:t>
      </w:r>
    </w:p>
    <w:p>
      <w:pPr>
        <w:spacing w:line="520" w:lineRule="exact"/>
        <w:jc w:val="center"/>
        <w:rPr>
          <w:b/>
          <w:color w:val="000000"/>
          <w:sz w:val="44"/>
        </w:rPr>
      </w:pPr>
    </w:p>
    <w:p>
      <w:pPr>
        <w:pStyle w:val="7"/>
        <w:spacing w:line="520" w:lineRule="exact"/>
        <w:rPr>
          <w:sz w:val="32"/>
          <w:szCs w:val="32"/>
        </w:rPr>
      </w:pPr>
      <w:r>
        <w:rPr>
          <w:rFonts w:hint="eastAsia"/>
          <w:sz w:val="32"/>
          <w:szCs w:val="32"/>
        </w:rPr>
        <w:t>天津华尊玻璃科技有限公司</w:t>
      </w:r>
      <w:r>
        <w:rPr>
          <w:sz w:val="32"/>
          <w:szCs w:val="32"/>
        </w:rPr>
        <w:t>：</w:t>
      </w:r>
    </w:p>
    <w:p>
      <w:pPr>
        <w:pStyle w:val="7"/>
        <w:spacing w:line="520" w:lineRule="exact"/>
        <w:ind w:firstLine="662" w:firstLineChars="207"/>
        <w:rPr>
          <w:sz w:val="32"/>
          <w:szCs w:val="32"/>
        </w:rPr>
      </w:pPr>
      <w:r>
        <w:rPr>
          <w:sz w:val="32"/>
          <w:szCs w:val="32"/>
        </w:rPr>
        <w:t>你</w:t>
      </w:r>
      <w:r>
        <w:rPr>
          <w:rFonts w:hint="eastAsia"/>
          <w:sz w:val="32"/>
          <w:szCs w:val="32"/>
        </w:rPr>
        <w:t>单位</w:t>
      </w:r>
      <w:r>
        <w:rPr>
          <w:sz w:val="32"/>
          <w:szCs w:val="32"/>
        </w:rPr>
        <w:t>呈报的</w:t>
      </w:r>
      <w:r>
        <w:rPr>
          <w:rFonts w:hint="eastAsia"/>
          <w:sz w:val="32"/>
          <w:szCs w:val="32"/>
        </w:rPr>
        <w:t>《华尊玻璃扩建生产线项目</w:t>
      </w:r>
      <w:r>
        <w:rPr>
          <w:sz w:val="32"/>
          <w:szCs w:val="32"/>
        </w:rPr>
        <w:t>环境影响报告表</w:t>
      </w:r>
      <w:r>
        <w:rPr>
          <w:rFonts w:hint="eastAsia"/>
          <w:sz w:val="32"/>
          <w:szCs w:val="32"/>
        </w:rPr>
        <w:t>的申请》、</w:t>
      </w:r>
      <w:r>
        <w:rPr>
          <w:sz w:val="32"/>
          <w:szCs w:val="32"/>
        </w:rPr>
        <w:t>《</w:t>
      </w:r>
      <w:r>
        <w:rPr>
          <w:rFonts w:hint="eastAsia"/>
          <w:sz w:val="32"/>
          <w:szCs w:val="32"/>
        </w:rPr>
        <w:t>华尊玻璃扩建生产线项目</w:t>
      </w:r>
      <w:r>
        <w:rPr>
          <w:sz w:val="32"/>
          <w:szCs w:val="32"/>
        </w:rPr>
        <w:t>环境影响报告表》及其</w:t>
      </w:r>
      <w:r>
        <w:rPr>
          <w:rFonts w:hint="eastAsia"/>
          <w:sz w:val="32"/>
          <w:szCs w:val="32"/>
        </w:rPr>
        <w:t>相关材料</w:t>
      </w:r>
      <w:r>
        <w:rPr>
          <w:sz w:val="32"/>
          <w:szCs w:val="32"/>
        </w:rPr>
        <w:t>收悉。经研究，现批复如下：</w:t>
      </w:r>
    </w:p>
    <w:p>
      <w:pPr>
        <w:pStyle w:val="7"/>
        <w:spacing w:line="520" w:lineRule="exact"/>
        <w:ind w:firstLine="662" w:firstLineChars="207"/>
        <w:rPr>
          <w:sz w:val="32"/>
          <w:szCs w:val="32"/>
        </w:rPr>
      </w:pPr>
      <w:r>
        <w:rPr>
          <w:sz w:val="32"/>
          <w:szCs w:val="32"/>
        </w:rPr>
        <w:t>一、</w:t>
      </w:r>
      <w:r>
        <w:rPr>
          <w:rFonts w:hint="eastAsia"/>
          <w:sz w:val="32"/>
          <w:szCs w:val="32"/>
        </w:rPr>
        <w:t>你单位拟在位于天津市滨海新区寨上街嵩山北路16号的现有厂房内建设“华尊玻璃扩建生产线项目”（以下简称“项目”）。项目主要建设内容为购置相关生产设备，提高钢化玻璃加工能力并新增两条中空玻璃生产线将部分钢化玻璃进一步加工为中空玻璃。项目建成后你单位总产能调整为年产10万m</w:t>
      </w:r>
      <w:r>
        <w:rPr>
          <w:rFonts w:hint="eastAsia"/>
          <w:sz w:val="32"/>
          <w:szCs w:val="32"/>
          <w:vertAlign w:val="superscript"/>
        </w:rPr>
        <w:t>2</w:t>
      </w:r>
      <w:r>
        <w:rPr>
          <w:rFonts w:hint="eastAsia"/>
          <w:sz w:val="32"/>
          <w:szCs w:val="32"/>
        </w:rPr>
        <w:t>中空玻璃（双层）、夹层玻璃2.6万m</w:t>
      </w:r>
      <w:r>
        <w:rPr>
          <w:rFonts w:hint="eastAsia"/>
          <w:sz w:val="32"/>
          <w:szCs w:val="32"/>
          <w:vertAlign w:val="superscript"/>
        </w:rPr>
        <w:t>2</w:t>
      </w:r>
      <w:r>
        <w:rPr>
          <w:rFonts w:hint="eastAsia"/>
          <w:sz w:val="32"/>
          <w:szCs w:val="32"/>
        </w:rPr>
        <w:t>（双层），10万m</w:t>
      </w:r>
      <w:r>
        <w:rPr>
          <w:rFonts w:hint="eastAsia"/>
          <w:sz w:val="32"/>
          <w:szCs w:val="32"/>
          <w:vertAlign w:val="superscript"/>
        </w:rPr>
        <w:t>2</w:t>
      </w:r>
      <w:r>
        <w:rPr>
          <w:rFonts w:hint="eastAsia"/>
          <w:sz w:val="32"/>
          <w:szCs w:val="32"/>
        </w:rPr>
        <w:t>钢化玻璃（单层）。项目总投资300万元人民币，其中环保投资30万元人民币，约占总投资的10%，预计于2023年5月竣工。</w:t>
      </w:r>
    </w:p>
    <w:p>
      <w:pPr>
        <w:pStyle w:val="7"/>
        <w:spacing w:line="520" w:lineRule="exact"/>
        <w:ind w:firstLine="662" w:firstLineChars="207"/>
        <w:rPr>
          <w:sz w:val="32"/>
          <w:szCs w:val="32"/>
        </w:rPr>
      </w:pPr>
      <w:r>
        <w:rPr>
          <w:sz w:val="32"/>
          <w:szCs w:val="32"/>
        </w:rPr>
        <w:t>20</w:t>
      </w:r>
      <w:r>
        <w:rPr>
          <w:rFonts w:hint="eastAsia"/>
          <w:sz w:val="32"/>
          <w:szCs w:val="32"/>
        </w:rPr>
        <w:t>23</w:t>
      </w:r>
      <w:r>
        <w:rPr>
          <w:sz w:val="32"/>
          <w:szCs w:val="32"/>
        </w:rPr>
        <w:t>年</w:t>
      </w:r>
      <w:r>
        <w:rPr>
          <w:rFonts w:hint="eastAsia"/>
          <w:sz w:val="32"/>
          <w:szCs w:val="32"/>
        </w:rPr>
        <w:t>1</w:t>
      </w:r>
      <w:r>
        <w:rPr>
          <w:sz w:val="32"/>
          <w:szCs w:val="32"/>
        </w:rPr>
        <w:t>月</w:t>
      </w:r>
      <w:r>
        <w:rPr>
          <w:rFonts w:hint="eastAsia"/>
          <w:sz w:val="32"/>
          <w:szCs w:val="32"/>
        </w:rPr>
        <w:t>9</w:t>
      </w:r>
      <w:r>
        <w:rPr>
          <w:sz w:val="32"/>
          <w:szCs w:val="32"/>
        </w:rPr>
        <w:t>日至</w:t>
      </w:r>
      <w:r>
        <w:rPr>
          <w:rFonts w:hint="eastAsia"/>
          <w:sz w:val="32"/>
          <w:szCs w:val="32"/>
        </w:rPr>
        <w:t>1</w:t>
      </w:r>
      <w:r>
        <w:rPr>
          <w:sz w:val="32"/>
          <w:szCs w:val="32"/>
        </w:rPr>
        <w:t>月</w:t>
      </w:r>
      <w:r>
        <w:rPr>
          <w:rFonts w:hint="eastAsia"/>
          <w:sz w:val="32"/>
          <w:szCs w:val="32"/>
        </w:rPr>
        <w:t>13</w:t>
      </w:r>
      <w:r>
        <w:rPr>
          <w:sz w:val="32"/>
          <w:szCs w:val="32"/>
        </w:rPr>
        <w:t>日，我局将该项目受理情况进行公示；</w:t>
      </w:r>
      <w:r>
        <w:rPr>
          <w:rFonts w:hint="eastAsia"/>
          <w:sz w:val="32"/>
          <w:szCs w:val="32"/>
        </w:rPr>
        <w:t>1</w:t>
      </w:r>
      <w:r>
        <w:rPr>
          <w:sz w:val="32"/>
          <w:szCs w:val="32"/>
        </w:rPr>
        <w:t>月</w:t>
      </w:r>
      <w:r>
        <w:rPr>
          <w:rFonts w:hint="eastAsia"/>
          <w:sz w:val="32"/>
          <w:szCs w:val="32"/>
        </w:rPr>
        <w:t>17日至1月28日</w:t>
      </w:r>
      <w:r>
        <w:rPr>
          <w:sz w:val="32"/>
          <w:szCs w:val="32"/>
        </w:rPr>
        <w:t>，将该项目拟批复情况进行公示；根据公众反馈意见情况</w:t>
      </w:r>
      <w:r>
        <w:rPr>
          <w:rFonts w:hint="eastAsia"/>
          <w:sz w:val="32"/>
          <w:szCs w:val="32"/>
        </w:rPr>
        <w:t>、</w:t>
      </w:r>
      <w:r>
        <w:rPr>
          <w:sz w:val="32"/>
          <w:szCs w:val="32"/>
        </w:rPr>
        <w:t>环评报告结论</w:t>
      </w:r>
      <w:r>
        <w:rPr>
          <w:rFonts w:hint="eastAsia"/>
          <w:sz w:val="32"/>
          <w:szCs w:val="32"/>
        </w:rPr>
        <w:t>及其专家评审意见</w:t>
      </w:r>
      <w:r>
        <w:rPr>
          <w:sz w:val="32"/>
          <w:szCs w:val="32"/>
        </w:rPr>
        <w:t>，在严格落实环评报告所提出的各项污染防治措施、确保各类污染物稳定达标的前提下，同意该项目建设。</w:t>
      </w:r>
    </w:p>
    <w:p>
      <w:pPr>
        <w:pStyle w:val="7"/>
        <w:spacing w:line="520" w:lineRule="exact"/>
        <w:ind w:firstLine="662" w:firstLineChars="207"/>
        <w:rPr>
          <w:sz w:val="32"/>
          <w:szCs w:val="32"/>
        </w:rPr>
      </w:pPr>
      <w:r>
        <w:rPr>
          <w:sz w:val="32"/>
          <w:szCs w:val="32"/>
        </w:rPr>
        <w:t>二、项目建设期间，你单位应重点做好以下工作：</w:t>
      </w:r>
    </w:p>
    <w:p>
      <w:pPr>
        <w:spacing w:line="520" w:lineRule="exact"/>
        <w:ind w:firstLine="640" w:firstLineChars="200"/>
        <w:textAlignment w:val="baseline"/>
      </w:pPr>
      <w:r>
        <w:t>严格贯彻《天津市大气污染</w:t>
      </w:r>
      <w:bookmarkStart w:id="0" w:name="_GoBack"/>
      <w:bookmarkEnd w:id="0"/>
      <w:r>
        <w:t>防治条例》、《天津市建设工程文明施工管理规定》、《天津市环境噪声污染防治管理办法》等环保法规，落实对施工扬尘、噪声等的各项污染防治措施；施工场地固体垃圾应及时清运；废水妥善处置。</w:t>
      </w:r>
    </w:p>
    <w:p>
      <w:pPr>
        <w:pStyle w:val="7"/>
        <w:spacing w:line="520" w:lineRule="exact"/>
        <w:ind w:firstLine="662" w:firstLineChars="207"/>
        <w:rPr>
          <w:sz w:val="32"/>
          <w:szCs w:val="32"/>
        </w:rPr>
      </w:pPr>
      <w:r>
        <w:rPr>
          <w:rFonts w:hint="eastAsia"/>
          <w:sz w:val="32"/>
          <w:szCs w:val="32"/>
        </w:rPr>
        <w:t>三</w:t>
      </w:r>
      <w:r>
        <w:rPr>
          <w:sz w:val="32"/>
          <w:szCs w:val="32"/>
        </w:rPr>
        <w:t>、项目</w:t>
      </w:r>
      <w:r>
        <w:rPr>
          <w:rFonts w:hint="eastAsia"/>
          <w:sz w:val="32"/>
          <w:szCs w:val="32"/>
        </w:rPr>
        <w:t>运营</w:t>
      </w:r>
      <w:r>
        <w:rPr>
          <w:sz w:val="32"/>
          <w:szCs w:val="32"/>
        </w:rPr>
        <w:t>过程中，你单位应重点做好以下工作：</w:t>
      </w:r>
    </w:p>
    <w:p>
      <w:pPr>
        <w:spacing w:line="520" w:lineRule="exact"/>
        <w:ind w:firstLine="640" w:firstLineChars="200"/>
        <w:textAlignment w:val="baseline"/>
      </w:pPr>
      <w:r>
        <w:rPr>
          <w:rFonts w:hint="eastAsia"/>
        </w:rPr>
        <w:t>1、项目新建的两条中空玻璃生产线产生的有机废气分别由上方集气罩收集后，经由两套二级活性炭设施处理后经两根15m高排气筒达标排放。</w:t>
      </w:r>
    </w:p>
    <w:p>
      <w:pPr>
        <w:spacing w:line="520" w:lineRule="exact"/>
        <w:ind w:firstLine="640" w:firstLineChars="200"/>
      </w:pPr>
      <w:r>
        <w:t>2、</w:t>
      </w:r>
      <w:r>
        <w:rPr>
          <w:rFonts w:hint="eastAsia"/>
        </w:rPr>
        <w:t>项目玻璃磨边、打孔、清洗产生的废水经二级沉淀(初级沉淀、混凝沉淀）设施处理后上清液循环使用，定期清理沉渣，废水不外排；高压釜冷却水经冷却塔循环使用，定期更换，废水用于磨边、钻孔、清洗工序不外排。生活污水经化粪池沉淀处理后，统一经市政污水管网达标排入生态城水处理中心。</w:t>
      </w:r>
    </w:p>
    <w:p>
      <w:pPr>
        <w:spacing w:line="520" w:lineRule="exact"/>
        <w:ind w:firstLine="640" w:firstLineChars="200"/>
      </w:pPr>
      <w:r>
        <w:t>3、</w:t>
      </w:r>
      <w:r>
        <w:rPr>
          <w:rFonts w:hint="eastAsia"/>
        </w:rPr>
        <w:t>合理布局，选用低噪声设备，</w:t>
      </w:r>
      <w:r>
        <w:t>对产噪设备实施减振</w:t>
      </w:r>
      <w:r>
        <w:rPr>
          <w:rFonts w:hint="eastAsia"/>
        </w:rPr>
        <w:t>、消声、</w:t>
      </w:r>
      <w:r>
        <w:t>隔声等措施，确保厂界噪声达标。</w:t>
      </w:r>
    </w:p>
    <w:p>
      <w:pPr>
        <w:spacing w:line="520" w:lineRule="exact"/>
        <w:ind w:firstLine="640" w:firstLineChars="200"/>
        <w:textAlignment w:val="baseline"/>
      </w:pPr>
      <w:r>
        <w:t>4、</w:t>
      </w:r>
      <w:r>
        <w:rPr>
          <w:rFonts w:hint="eastAsia"/>
        </w:rPr>
        <w:t>做好各类固体废物的收集、贮存、运输和处置，做到资源化、减量化、无害化。项目产生的废胶桶</w:t>
      </w:r>
      <w:r>
        <w:t>、</w:t>
      </w:r>
      <w:r>
        <w:rPr>
          <w:rFonts w:hint="eastAsia"/>
        </w:rPr>
        <w:t>废活性炭</w:t>
      </w:r>
      <w:r>
        <w:t>、</w:t>
      </w:r>
      <w:r>
        <w:rPr>
          <w:rFonts w:hint="eastAsia"/>
        </w:rPr>
        <w:t>废机油、废油桶、含油抹布等危险废物交由有资质的单位进行处理处置；以上危险废物需按照《危险废物收集</w:t>
      </w:r>
      <w:r>
        <w:t xml:space="preserve"> </w:t>
      </w:r>
      <w:r>
        <w:rPr>
          <w:rFonts w:hint="eastAsia"/>
        </w:rPr>
        <w:t>贮存 运输技术规范》（</w:t>
      </w:r>
      <w:r>
        <w:t>HJ2025-2012</w:t>
      </w:r>
      <w:r>
        <w:rPr>
          <w:rFonts w:hint="eastAsia"/>
        </w:rPr>
        <w:t>）进行收集、贮存及运输；危险废物暂存库应按照《危险废物贮存污染控制标准》（</w:t>
      </w:r>
      <w:r>
        <w:t>GB18597-2001</w:t>
      </w:r>
      <w:r>
        <w:rPr>
          <w:rFonts w:hint="eastAsia"/>
        </w:rPr>
        <w:t>）进行建设和管理。废包装材料、废水沉渣、废铝条、玻璃边角料等一般工业固废由物资回收单位回收。</w:t>
      </w:r>
    </w:p>
    <w:p>
      <w:pPr>
        <w:spacing w:line="520" w:lineRule="exact"/>
        <w:ind w:firstLine="640" w:firstLineChars="200"/>
        <w:textAlignment w:val="baseline"/>
      </w:pPr>
      <w:r>
        <w:rPr>
          <w:rFonts w:hint="eastAsia"/>
        </w:rPr>
        <w:t>5</w:t>
      </w:r>
      <w:r>
        <w:t>、</w:t>
      </w:r>
      <w:r>
        <w:rPr>
          <w:rFonts w:hint="eastAsia"/>
        </w:rPr>
        <w:t>按照相关规定，做好排污口规范化工作，设置规范的采样点，悬挂符合要求的标识牌。</w:t>
      </w:r>
    </w:p>
    <w:p>
      <w:pPr>
        <w:spacing w:line="520" w:lineRule="exact"/>
        <w:ind w:firstLine="640" w:firstLineChars="200"/>
        <w:textAlignment w:val="baseline"/>
        <w:rPr>
          <w:rFonts w:ascii="仿宋_GB2312"/>
        </w:rPr>
      </w:pPr>
      <w:r>
        <w:rPr>
          <w:rFonts w:hint="eastAsia"/>
        </w:rPr>
        <w:t>6、</w:t>
      </w:r>
      <w:r>
        <w:rPr>
          <w:rFonts w:hint="eastAsia" w:ascii="仿宋_GB2312"/>
        </w:rPr>
        <w:t>强化日常管理，做好风险事故防范措施，制定环境突发环境事件应急预案并备案，杜绝发生环境事故和次生环境事故，防止事故造成的环境污染。</w:t>
      </w:r>
    </w:p>
    <w:p>
      <w:pPr>
        <w:spacing w:line="520" w:lineRule="exact"/>
        <w:ind w:firstLine="640" w:firstLineChars="200"/>
      </w:pPr>
      <w:r>
        <w:rPr>
          <w:rFonts w:hint="eastAsia"/>
        </w:rPr>
        <w:t>四、本项目实施后，主要污染物新增总量为VOCs0.0684 t/a，根据区生态环境局《关于天津华尊玻璃</w:t>
      </w:r>
      <w:r>
        <w:rPr>
          <w:rFonts w:hint="eastAsia" w:ascii="仿宋_GB2312" w:hAnsi="仿宋_GB2312" w:cs="仿宋_GB2312"/>
        </w:rPr>
        <w:t>科技有限公司</w:t>
      </w:r>
      <w:r>
        <w:rPr>
          <w:rFonts w:hint="eastAsia"/>
        </w:rPr>
        <w:t>扩建生产线项目VOCs总量来源确认意见》，该新增污染物总量指标有来源。</w:t>
      </w:r>
    </w:p>
    <w:p>
      <w:pPr>
        <w:spacing w:line="520" w:lineRule="exact"/>
        <w:ind w:firstLine="640" w:firstLineChars="200"/>
        <w:textAlignment w:val="baseline"/>
      </w:pPr>
      <w:r>
        <w:rPr>
          <w:rFonts w:hint="eastAsia"/>
        </w:rPr>
        <w:t>五、</w:t>
      </w:r>
      <w:r>
        <w:t>项目建设应严格执行环境保护设施与主体工程同时设计、同时施工、同时投产使用的“三同时”管理制度。项目</w:t>
      </w:r>
      <w:r>
        <w:rPr>
          <w:rFonts w:hint="eastAsia"/>
        </w:rPr>
        <w:t>应</w:t>
      </w:r>
      <w:r>
        <w:t>按规定</w:t>
      </w:r>
      <w:r>
        <w:rPr>
          <w:rFonts w:hint="eastAsia"/>
        </w:rPr>
        <w:t>标准和</w:t>
      </w:r>
      <w:r>
        <w:t>程序</w:t>
      </w:r>
      <w:r>
        <w:rPr>
          <w:rFonts w:hint="eastAsia"/>
        </w:rPr>
        <w:t>开展</w:t>
      </w:r>
      <w:r>
        <w:t>环境保护验收，经验收合格后方可正式投入运营。</w:t>
      </w:r>
    </w:p>
    <w:p>
      <w:pPr>
        <w:pStyle w:val="7"/>
        <w:spacing w:line="520" w:lineRule="exact"/>
        <w:ind w:firstLine="662" w:firstLineChars="207"/>
        <w:rPr>
          <w:sz w:val="32"/>
          <w:szCs w:val="32"/>
        </w:rPr>
      </w:pPr>
      <w:r>
        <w:rPr>
          <w:rFonts w:hint="eastAsia"/>
          <w:sz w:val="32"/>
          <w:szCs w:val="32"/>
        </w:rPr>
        <w:t>六</w:t>
      </w:r>
      <w:r>
        <w:rPr>
          <w:sz w:val="32"/>
          <w:szCs w:val="32"/>
        </w:rPr>
        <w:t>、若建设项目发生重大变动，</w:t>
      </w:r>
      <w:r>
        <w:rPr>
          <w:rFonts w:hint="eastAsia"/>
          <w:sz w:val="32"/>
          <w:szCs w:val="32"/>
        </w:rPr>
        <w:t>需</w:t>
      </w:r>
      <w:r>
        <w:rPr>
          <w:sz w:val="32"/>
          <w:szCs w:val="32"/>
        </w:rPr>
        <w:t>重新报批建设项目的环境影响评价文件。</w:t>
      </w:r>
    </w:p>
    <w:p>
      <w:pPr>
        <w:pStyle w:val="7"/>
        <w:spacing w:line="520" w:lineRule="exact"/>
        <w:ind w:firstLine="662" w:firstLineChars="207"/>
        <w:rPr>
          <w:sz w:val="32"/>
          <w:szCs w:val="32"/>
        </w:rPr>
      </w:pPr>
      <w:r>
        <w:rPr>
          <w:rFonts w:hint="eastAsia"/>
          <w:sz w:val="32"/>
          <w:szCs w:val="32"/>
        </w:rPr>
        <w:t>七、你单位应</w:t>
      </w:r>
      <w:r>
        <w:rPr>
          <w:rFonts w:hint="eastAsia" w:ascii="仿宋_GB2312" w:cs="仿宋_GB2312"/>
          <w:color w:val="343434"/>
          <w:sz w:val="32"/>
          <w:szCs w:val="32"/>
          <w:shd w:val="clear" w:color="auto" w:fill="FFFFFF"/>
        </w:rPr>
        <w:t>在启动生产设施或者在实际排污之前按照法律法规要求做好排污许可管理相关工作。</w:t>
      </w:r>
    </w:p>
    <w:p>
      <w:pPr>
        <w:pStyle w:val="7"/>
        <w:spacing w:line="520" w:lineRule="exact"/>
        <w:ind w:firstLine="662" w:firstLineChars="207"/>
        <w:rPr>
          <w:sz w:val="32"/>
          <w:szCs w:val="32"/>
        </w:rPr>
      </w:pPr>
      <w:r>
        <w:rPr>
          <w:rFonts w:hint="eastAsia"/>
          <w:sz w:val="32"/>
          <w:szCs w:val="32"/>
        </w:rPr>
        <w:t>八、</w:t>
      </w:r>
      <w:r>
        <w:rPr>
          <w:sz w:val="32"/>
          <w:szCs w:val="32"/>
        </w:rPr>
        <w:t>项目应执行以下</w:t>
      </w:r>
      <w:r>
        <w:rPr>
          <w:rFonts w:hint="eastAsia"/>
          <w:sz w:val="32"/>
          <w:szCs w:val="32"/>
        </w:rPr>
        <w:t>排放</w:t>
      </w:r>
      <w:r>
        <w:rPr>
          <w:sz w:val="32"/>
          <w:szCs w:val="32"/>
        </w:rPr>
        <w:t>标准：</w:t>
      </w:r>
    </w:p>
    <w:p>
      <w:pPr>
        <w:pStyle w:val="7"/>
        <w:spacing w:line="520" w:lineRule="exact"/>
        <w:ind w:firstLine="662" w:firstLineChars="207"/>
        <w:rPr>
          <w:sz w:val="32"/>
          <w:szCs w:val="32"/>
        </w:rPr>
      </w:pPr>
      <w:r>
        <w:rPr>
          <w:sz w:val="32"/>
          <w:szCs w:val="32"/>
        </w:rPr>
        <w:t>1、《环境空气质量标准》（GB3095-2012）二级；</w:t>
      </w:r>
    </w:p>
    <w:p>
      <w:pPr>
        <w:pStyle w:val="7"/>
        <w:spacing w:line="520" w:lineRule="exact"/>
        <w:ind w:firstLine="662" w:firstLineChars="207"/>
        <w:rPr>
          <w:sz w:val="32"/>
          <w:szCs w:val="32"/>
        </w:rPr>
      </w:pPr>
      <w:r>
        <w:rPr>
          <w:rFonts w:hint="eastAsia"/>
          <w:sz w:val="32"/>
          <w:szCs w:val="32"/>
        </w:rPr>
        <w:t>2、</w:t>
      </w:r>
      <w:r>
        <w:rPr>
          <w:sz w:val="32"/>
          <w:szCs w:val="32"/>
        </w:rPr>
        <w:t>《声环境质量标准》（GB3096-2008）</w:t>
      </w:r>
      <w:r>
        <w:rPr>
          <w:rFonts w:hint="eastAsia"/>
          <w:sz w:val="32"/>
          <w:szCs w:val="32"/>
        </w:rPr>
        <w:t>3</w:t>
      </w:r>
      <w:r>
        <w:rPr>
          <w:sz w:val="32"/>
          <w:szCs w:val="32"/>
        </w:rPr>
        <w:t>类；</w:t>
      </w:r>
    </w:p>
    <w:p>
      <w:pPr>
        <w:spacing w:line="520" w:lineRule="exact"/>
        <w:ind w:firstLine="640" w:firstLineChars="200"/>
      </w:pPr>
      <w:r>
        <w:rPr>
          <w:rFonts w:hint="eastAsia"/>
        </w:rPr>
        <w:t xml:space="preserve">3、《工业企业挥发性有机物排放控制标准》（DB12/524-2020）； </w:t>
      </w:r>
    </w:p>
    <w:p>
      <w:pPr>
        <w:spacing w:line="520" w:lineRule="exact"/>
        <w:ind w:firstLine="640" w:firstLineChars="200"/>
        <w:rPr>
          <w:shd w:val="pct10" w:color="auto" w:fill="FFFFFF"/>
        </w:rPr>
      </w:pPr>
      <w:r>
        <w:rPr>
          <w:rFonts w:hint="eastAsia"/>
        </w:rPr>
        <w:t>4、《恶臭污染物排放标准》（DB12/059-2018）；</w:t>
      </w:r>
    </w:p>
    <w:p>
      <w:pPr>
        <w:spacing w:line="520" w:lineRule="exact"/>
        <w:ind w:firstLine="640" w:firstLineChars="200"/>
      </w:pPr>
      <w:r>
        <w:rPr>
          <w:rFonts w:hint="eastAsia"/>
        </w:rPr>
        <w:t>5、</w:t>
      </w:r>
      <w:r>
        <w:t>《大气污染物综合排放标准》（GB16297-1996）</w:t>
      </w:r>
      <w:r>
        <w:rPr>
          <w:rFonts w:hint="eastAsia"/>
        </w:rPr>
        <w:t>；</w:t>
      </w:r>
    </w:p>
    <w:p>
      <w:pPr>
        <w:spacing w:line="520" w:lineRule="exact"/>
        <w:ind w:firstLine="640" w:firstLineChars="200"/>
      </w:pPr>
      <w:r>
        <w:rPr>
          <w:rFonts w:hint="eastAsia"/>
        </w:rPr>
        <w:t>6、《建筑施工场界环境噪声排放标准》（GB12523-2011）；</w:t>
      </w:r>
    </w:p>
    <w:p>
      <w:pPr>
        <w:pStyle w:val="7"/>
        <w:spacing w:line="520" w:lineRule="exact"/>
        <w:ind w:firstLine="640" w:firstLineChars="200"/>
        <w:rPr>
          <w:sz w:val="32"/>
          <w:szCs w:val="32"/>
        </w:rPr>
      </w:pPr>
      <w:r>
        <w:rPr>
          <w:rFonts w:hint="eastAsia"/>
          <w:sz w:val="32"/>
          <w:szCs w:val="32"/>
        </w:rPr>
        <w:t>7、</w:t>
      </w:r>
      <w:r>
        <w:rPr>
          <w:sz w:val="32"/>
          <w:szCs w:val="32"/>
        </w:rPr>
        <w:t>《工业企业厂界环境噪声排放标准》(GB12348-2008)</w:t>
      </w:r>
      <w:r>
        <w:rPr>
          <w:rFonts w:hint="eastAsia"/>
          <w:sz w:val="32"/>
          <w:szCs w:val="32"/>
        </w:rPr>
        <w:t>3</w:t>
      </w:r>
      <w:r>
        <w:rPr>
          <w:sz w:val="32"/>
          <w:szCs w:val="32"/>
        </w:rPr>
        <w:t>类；</w:t>
      </w:r>
    </w:p>
    <w:p>
      <w:pPr>
        <w:pStyle w:val="7"/>
        <w:spacing w:line="520" w:lineRule="exact"/>
        <w:ind w:firstLine="640" w:firstLineChars="200"/>
        <w:rPr>
          <w:sz w:val="32"/>
          <w:szCs w:val="32"/>
          <w:shd w:val="pct10" w:color="auto" w:fill="FFFFFF"/>
        </w:rPr>
      </w:pPr>
      <w:r>
        <w:rPr>
          <w:rFonts w:hint="eastAsia"/>
          <w:sz w:val="32"/>
          <w:szCs w:val="32"/>
        </w:rPr>
        <w:t>8、</w:t>
      </w:r>
      <w:r>
        <w:rPr>
          <w:sz w:val="32"/>
          <w:szCs w:val="32"/>
        </w:rPr>
        <w:t>《危险废物贮存污染控制标准》（GB18597-2001）</w:t>
      </w:r>
      <w:r>
        <w:rPr>
          <w:rFonts w:hint="eastAsia"/>
          <w:sz w:val="32"/>
          <w:szCs w:val="32"/>
        </w:rPr>
        <w:t>及其修改单相关要求；</w:t>
      </w:r>
    </w:p>
    <w:p>
      <w:pPr>
        <w:pStyle w:val="7"/>
        <w:spacing w:line="520" w:lineRule="exact"/>
        <w:ind w:firstLine="662" w:firstLineChars="207"/>
        <w:rPr>
          <w:sz w:val="32"/>
          <w:szCs w:val="32"/>
        </w:rPr>
      </w:pPr>
      <w:r>
        <w:rPr>
          <w:rFonts w:hint="eastAsia"/>
          <w:sz w:val="32"/>
          <w:szCs w:val="32"/>
        </w:rPr>
        <w:t>9、《危险废物收集 贮存 运输技术规范》（HJ2025-2012）；</w:t>
      </w:r>
    </w:p>
    <w:p>
      <w:pPr>
        <w:pStyle w:val="7"/>
        <w:spacing w:line="520" w:lineRule="exact"/>
        <w:ind w:firstLine="662" w:firstLineChars="207"/>
        <w:rPr>
          <w:sz w:val="32"/>
          <w:szCs w:val="32"/>
        </w:rPr>
      </w:pPr>
      <w:r>
        <w:rPr>
          <w:rFonts w:hint="eastAsia"/>
          <w:sz w:val="32"/>
          <w:szCs w:val="32"/>
        </w:rPr>
        <w:t>11、《一般工业固体废物贮存和填埋污染控制标准》（GB18599-2020）。</w:t>
      </w:r>
    </w:p>
    <w:p>
      <w:pPr>
        <w:pStyle w:val="7"/>
        <w:spacing w:line="520" w:lineRule="exact"/>
        <w:ind w:firstLine="662" w:firstLineChars="207"/>
        <w:rPr>
          <w:sz w:val="32"/>
          <w:szCs w:val="32"/>
        </w:rPr>
      </w:pPr>
      <w:r>
        <w:rPr>
          <w:sz w:val="32"/>
          <w:szCs w:val="32"/>
        </w:rPr>
        <w:t>此复</w:t>
      </w:r>
    </w:p>
    <w:p>
      <w:pPr>
        <w:pStyle w:val="7"/>
        <w:spacing w:line="520" w:lineRule="exact"/>
        <w:ind w:firstLine="662" w:firstLineChars="207"/>
        <w:rPr>
          <w:sz w:val="32"/>
          <w:szCs w:val="32"/>
        </w:rPr>
      </w:pPr>
    </w:p>
    <w:p>
      <w:pPr>
        <w:pStyle w:val="7"/>
        <w:spacing w:line="520" w:lineRule="exact"/>
        <w:ind w:firstLine="662" w:firstLineChars="207"/>
        <w:rPr>
          <w:sz w:val="32"/>
          <w:szCs w:val="32"/>
        </w:rPr>
      </w:pPr>
    </w:p>
    <w:p>
      <w:pPr>
        <w:pStyle w:val="7"/>
        <w:spacing w:line="520" w:lineRule="exact"/>
        <w:ind w:firstLine="662" w:firstLineChars="207"/>
        <w:rPr>
          <w:sz w:val="32"/>
          <w:szCs w:val="32"/>
        </w:rPr>
      </w:pPr>
    </w:p>
    <w:p>
      <w:pPr>
        <w:wordWrap w:val="0"/>
        <w:spacing w:line="520" w:lineRule="exact"/>
        <w:jc w:val="right"/>
      </w:pPr>
      <w:r>
        <w:rPr>
          <w:rFonts w:hint="eastAsia"/>
        </w:rPr>
        <w:t xml:space="preserve">                        </w:t>
      </w:r>
      <w:r>
        <w:t>20</w:t>
      </w:r>
      <w:r>
        <w:rPr>
          <w:rFonts w:hint="eastAsia"/>
        </w:rPr>
        <w:t>23</w:t>
      </w:r>
      <w:r>
        <w:t>年</w:t>
      </w:r>
      <w:r>
        <w:rPr>
          <w:rFonts w:hint="eastAsia"/>
        </w:rPr>
        <w:t>1</w:t>
      </w:r>
      <w:r>
        <w:t>月</w:t>
      </w:r>
      <w:r>
        <w:rPr>
          <w:rFonts w:hint="eastAsia"/>
        </w:rPr>
        <w:t>29</w:t>
      </w:r>
      <w:r>
        <w:t>日</w:t>
      </w:r>
      <w:r>
        <w:rPr>
          <w:rFonts w:hint="eastAsia"/>
        </w:rPr>
        <w:t xml:space="preserve">        </w:t>
      </w:r>
    </w:p>
    <w:p>
      <w:pPr>
        <w:spacing w:line="520" w:lineRule="exact"/>
        <w:ind w:right="640"/>
        <w:jc w:val="right"/>
      </w:pPr>
    </w:p>
    <w:p>
      <w:pPr>
        <w:spacing w:line="520" w:lineRule="exact"/>
        <w:ind w:right="640"/>
        <w:jc w:val="right"/>
      </w:pPr>
    </w:p>
    <w:p>
      <w:pPr>
        <w:spacing w:line="520" w:lineRule="exact"/>
        <w:ind w:right="640"/>
        <w:jc w:val="right"/>
      </w:pPr>
    </w:p>
    <w:p>
      <w:pPr>
        <w:spacing w:line="520" w:lineRule="exact"/>
        <w:ind w:right="640"/>
        <w:jc w:val="right"/>
      </w:pPr>
    </w:p>
    <w:p>
      <w:pPr>
        <w:spacing w:line="520" w:lineRule="exact"/>
        <w:ind w:right="640"/>
        <w:jc w:val="right"/>
      </w:pPr>
    </w:p>
    <w:p>
      <w:pPr>
        <w:spacing w:line="520" w:lineRule="exact"/>
        <w:ind w:right="640"/>
        <w:jc w:val="right"/>
      </w:pPr>
    </w:p>
    <w:p>
      <w:pPr>
        <w:spacing w:line="520" w:lineRule="exact"/>
        <w:ind w:right="640"/>
        <w:jc w:val="right"/>
      </w:pPr>
    </w:p>
    <w:p>
      <w:pPr>
        <w:spacing w:line="520" w:lineRule="exact"/>
        <w:ind w:right="640"/>
        <w:jc w:val="right"/>
      </w:pPr>
    </w:p>
    <w:p>
      <w:pPr>
        <w:spacing w:line="520" w:lineRule="exact"/>
        <w:ind w:right="640"/>
        <w:jc w:val="right"/>
      </w:pPr>
    </w:p>
    <w:p>
      <w:pPr>
        <w:spacing w:line="520" w:lineRule="exact"/>
        <w:ind w:right="640"/>
        <w:jc w:val="right"/>
      </w:pPr>
    </w:p>
    <w:p>
      <w:pPr>
        <w:spacing w:line="520" w:lineRule="exact"/>
        <w:ind w:right="640"/>
        <w:jc w:val="right"/>
      </w:pPr>
    </w:p>
    <w:p>
      <w:pPr>
        <w:spacing w:line="520" w:lineRule="exact"/>
        <w:ind w:right="640"/>
        <w:jc w:val="right"/>
      </w:pPr>
    </w:p>
    <w:p>
      <w:pPr>
        <w:spacing w:line="520" w:lineRule="exact"/>
        <w:ind w:right="640"/>
        <w:jc w:val="right"/>
      </w:pPr>
    </w:p>
    <w:p>
      <w:pPr>
        <w:spacing w:line="520" w:lineRule="exact"/>
        <w:ind w:right="640"/>
        <w:jc w:val="right"/>
      </w:pPr>
    </w:p>
    <w:p>
      <w:pPr>
        <w:spacing w:line="520" w:lineRule="exact"/>
        <w:ind w:right="640"/>
        <w:jc w:val="right"/>
      </w:pPr>
    </w:p>
    <w:p>
      <w:r>
        <w:rPr>
          <w:rFonts w:eastAsia="黑体"/>
        </w:rPr>
        <w:t>主题词：</w:t>
      </w:r>
      <w:r>
        <w:t>环境影响 报告表 批复                （共印</w:t>
      </w:r>
      <w:r>
        <w:rPr>
          <w:rFonts w:hint="eastAsia"/>
        </w:rPr>
        <w:t>3</w:t>
      </w:r>
      <w:r>
        <w:t>份）</w:t>
      </w:r>
    </w:p>
    <w:tbl>
      <w:tblPr>
        <w:tblStyle w:val="4"/>
        <w:tblW w:w="9054" w:type="dxa"/>
        <w:tblInd w:w="0" w:type="dxa"/>
        <w:tblBorders>
          <w:top w:val="none" w:color="auto" w:sz="0" w:space="0"/>
          <w:left w:val="none" w:color="auto" w:sz="0" w:space="0"/>
          <w:bottom w:val="none" w:color="auto" w:sz="0"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1242"/>
        <w:gridCol w:w="3922"/>
        <w:gridCol w:w="3890"/>
      </w:tblGrid>
      <w:tr>
        <w:tblPrEx>
          <w:tblBorders>
            <w:top w:val="none" w:color="auto" w:sz="0" w:space="0"/>
            <w:left w:val="none" w:color="auto" w:sz="0" w:space="0"/>
            <w:bottom w:val="none" w:color="auto" w:sz="0" w:space="0"/>
            <w:right w:val="none" w:color="auto" w:sz="0" w:space="0"/>
            <w:insideH w:val="single" w:color="auto" w:sz="8" w:space="0"/>
            <w:insideV w:val="none" w:color="auto" w:sz="0" w:space="0"/>
          </w:tblBorders>
        </w:tblPrEx>
        <w:trPr>
          <w:trHeight w:val="567" w:hRule="atLeast"/>
        </w:trPr>
        <w:tc>
          <w:tcPr>
            <w:tcW w:w="1242" w:type="dxa"/>
            <w:tcBorders>
              <w:top w:val="single" w:color="auto" w:sz="8" w:space="0"/>
              <w:bottom w:val="single" w:color="auto" w:sz="8" w:space="0"/>
            </w:tcBorders>
          </w:tcPr>
          <w:p>
            <w:pPr>
              <w:ind w:right="160"/>
              <w:jc w:val="right"/>
              <w:rPr>
                <w:rFonts w:eastAsia="黑体"/>
              </w:rPr>
            </w:pPr>
            <w:r>
              <w:rPr>
                <w:rFonts w:eastAsia="黑体"/>
              </w:rPr>
              <w:t>抄送：</w:t>
            </w:r>
          </w:p>
        </w:tc>
        <w:tc>
          <w:tcPr>
            <w:tcW w:w="7812" w:type="dxa"/>
            <w:gridSpan w:val="2"/>
            <w:tcBorders>
              <w:top w:val="single" w:color="auto" w:sz="8" w:space="0"/>
              <w:bottom w:val="single" w:color="auto" w:sz="8" w:space="0"/>
            </w:tcBorders>
          </w:tcPr>
          <w:p>
            <w:r>
              <w:t>天津市滨海新区</w:t>
            </w:r>
            <w:r>
              <w:rPr>
                <w:rFonts w:hint="eastAsia"/>
              </w:rPr>
              <w:t>生态</w:t>
            </w:r>
            <w:r>
              <w:t>环境局</w:t>
            </w:r>
          </w:p>
        </w:tc>
      </w:tr>
      <w:tr>
        <w:tblPrEx>
          <w:tblBorders>
            <w:top w:val="none" w:color="auto" w:sz="0" w:space="0"/>
            <w:left w:val="none" w:color="auto" w:sz="0" w:space="0"/>
            <w:bottom w:val="none" w:color="auto" w:sz="0"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567" w:hRule="atLeast"/>
        </w:trPr>
        <w:tc>
          <w:tcPr>
            <w:tcW w:w="5164" w:type="dxa"/>
            <w:gridSpan w:val="2"/>
            <w:tcBorders>
              <w:top w:val="single" w:color="auto" w:sz="8" w:space="0"/>
            </w:tcBorders>
          </w:tcPr>
          <w:p>
            <w:r>
              <w:rPr>
                <w:rFonts w:hint="eastAsia"/>
              </w:rPr>
              <w:t>天津市滨海新区行政审批局</w:t>
            </w:r>
          </w:p>
        </w:tc>
        <w:tc>
          <w:tcPr>
            <w:tcW w:w="3890" w:type="dxa"/>
            <w:tcBorders>
              <w:top w:val="single" w:color="auto" w:sz="8" w:space="0"/>
            </w:tcBorders>
          </w:tcPr>
          <w:p>
            <w:pPr>
              <w:wordWrap w:val="0"/>
              <w:ind w:right="320" w:rightChars="100"/>
              <w:jc w:val="right"/>
            </w:pPr>
            <w:r>
              <w:t>20</w:t>
            </w:r>
            <w:r>
              <w:rPr>
                <w:rFonts w:hint="eastAsia"/>
              </w:rPr>
              <w:t>23</w:t>
            </w:r>
            <w:r>
              <w:t>年</w:t>
            </w:r>
            <w:r>
              <w:rPr>
                <w:rFonts w:hint="eastAsia"/>
              </w:rPr>
              <w:t>1月29</w:t>
            </w:r>
            <w:r>
              <w:t>日印发</w:t>
            </w:r>
          </w:p>
        </w:tc>
      </w:tr>
    </w:tbl>
    <w:p/>
    <w:sectPr>
      <w:headerReference r:id="rId3" w:type="default"/>
      <w:footerReference r:id="rId4"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7FD36F-C40C-40C6-BA2C-50B0C34AE00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A28B87F-91D9-433B-8799-6FF02518638B}"/>
  </w:font>
  <w:font w:name="仿宋_GB2312">
    <w:altName w:val="仿宋"/>
    <w:panose1 w:val="02010609030101010101"/>
    <w:charset w:val="86"/>
    <w:family w:val="modern"/>
    <w:pitch w:val="default"/>
    <w:sig w:usb0="00000000" w:usb1="00000000" w:usb2="00000010" w:usb3="00000000" w:csb0="00040000" w:csb1="00000000"/>
    <w:embedRegular r:id="rId3" w:fontKey="{AB592A82-F9D4-4CF9-8BC8-239128E639BA}"/>
  </w:font>
  <w:font w:name="方正小标宋简体">
    <w:panose1 w:val="02000000000000000000"/>
    <w:charset w:val="86"/>
    <w:family w:val="script"/>
    <w:pitch w:val="default"/>
    <w:sig w:usb0="00000001" w:usb1="08000000" w:usb2="00000000" w:usb3="00000000" w:csb0="00040000" w:csb1="00000000"/>
    <w:embedRegular r:id="rId4" w:fontKey="{E3178106-800C-42AD-B7E6-A45D0084B95B}"/>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9765"/>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dmMzczYjBjMmJhNGRiMmFkNjFhZDFhZGQxZTEzNzQifQ=="/>
  </w:docVars>
  <w:rsids>
    <w:rsidRoot w:val="005E4B9D"/>
    <w:rsid w:val="000000ED"/>
    <w:rsid w:val="00005129"/>
    <w:rsid w:val="00012316"/>
    <w:rsid w:val="00017EFA"/>
    <w:rsid w:val="00021047"/>
    <w:rsid w:val="00027F7A"/>
    <w:rsid w:val="00032953"/>
    <w:rsid w:val="000451A7"/>
    <w:rsid w:val="000453B7"/>
    <w:rsid w:val="000548CC"/>
    <w:rsid w:val="00062FED"/>
    <w:rsid w:val="000634F1"/>
    <w:rsid w:val="00063BE2"/>
    <w:rsid w:val="000657B0"/>
    <w:rsid w:val="00077ADA"/>
    <w:rsid w:val="00080A98"/>
    <w:rsid w:val="00085EF5"/>
    <w:rsid w:val="0008666F"/>
    <w:rsid w:val="00091C2C"/>
    <w:rsid w:val="000931B0"/>
    <w:rsid w:val="000931CA"/>
    <w:rsid w:val="0009352D"/>
    <w:rsid w:val="00097DA8"/>
    <w:rsid w:val="000D45D0"/>
    <w:rsid w:val="000D754B"/>
    <w:rsid w:val="000E069B"/>
    <w:rsid w:val="000E209C"/>
    <w:rsid w:val="000F7EEF"/>
    <w:rsid w:val="001040CF"/>
    <w:rsid w:val="0011736F"/>
    <w:rsid w:val="00127AE7"/>
    <w:rsid w:val="00141E18"/>
    <w:rsid w:val="00154AA1"/>
    <w:rsid w:val="00155A9A"/>
    <w:rsid w:val="001602A8"/>
    <w:rsid w:val="00163DAC"/>
    <w:rsid w:val="001708D6"/>
    <w:rsid w:val="00185818"/>
    <w:rsid w:val="0019193B"/>
    <w:rsid w:val="001A21BB"/>
    <w:rsid w:val="001B066E"/>
    <w:rsid w:val="001C0D5B"/>
    <w:rsid w:val="001C71C4"/>
    <w:rsid w:val="001D55C1"/>
    <w:rsid w:val="001E44A6"/>
    <w:rsid w:val="001F2E07"/>
    <w:rsid w:val="001F3EDC"/>
    <w:rsid w:val="002014D5"/>
    <w:rsid w:val="00203B29"/>
    <w:rsid w:val="002102C7"/>
    <w:rsid w:val="00210B83"/>
    <w:rsid w:val="0024430E"/>
    <w:rsid w:val="00255939"/>
    <w:rsid w:val="00261B2D"/>
    <w:rsid w:val="00266E63"/>
    <w:rsid w:val="0027460C"/>
    <w:rsid w:val="00275DD8"/>
    <w:rsid w:val="00282601"/>
    <w:rsid w:val="002858A4"/>
    <w:rsid w:val="00292B28"/>
    <w:rsid w:val="002A61D2"/>
    <w:rsid w:val="002A6EBE"/>
    <w:rsid w:val="002B607C"/>
    <w:rsid w:val="002D2E2A"/>
    <w:rsid w:val="002D4DA6"/>
    <w:rsid w:val="002D545C"/>
    <w:rsid w:val="002D7082"/>
    <w:rsid w:val="002E401B"/>
    <w:rsid w:val="002E692F"/>
    <w:rsid w:val="00310B46"/>
    <w:rsid w:val="00321A8B"/>
    <w:rsid w:val="003276C0"/>
    <w:rsid w:val="00330A22"/>
    <w:rsid w:val="00346E41"/>
    <w:rsid w:val="003631B1"/>
    <w:rsid w:val="00371D93"/>
    <w:rsid w:val="00373B1A"/>
    <w:rsid w:val="00374E8D"/>
    <w:rsid w:val="00380065"/>
    <w:rsid w:val="00395C48"/>
    <w:rsid w:val="003A0AF9"/>
    <w:rsid w:val="003A397F"/>
    <w:rsid w:val="003A3EBD"/>
    <w:rsid w:val="003C657C"/>
    <w:rsid w:val="003D7B4C"/>
    <w:rsid w:val="003E18B7"/>
    <w:rsid w:val="003F7931"/>
    <w:rsid w:val="0040020E"/>
    <w:rsid w:val="00400DD2"/>
    <w:rsid w:val="00404088"/>
    <w:rsid w:val="0041139B"/>
    <w:rsid w:val="004206D8"/>
    <w:rsid w:val="0042398D"/>
    <w:rsid w:val="00427887"/>
    <w:rsid w:val="004312E2"/>
    <w:rsid w:val="00431B4A"/>
    <w:rsid w:val="00447B9B"/>
    <w:rsid w:val="00475631"/>
    <w:rsid w:val="004831E2"/>
    <w:rsid w:val="00495B78"/>
    <w:rsid w:val="004963AE"/>
    <w:rsid w:val="004969DE"/>
    <w:rsid w:val="004A5F7D"/>
    <w:rsid w:val="004B1790"/>
    <w:rsid w:val="004B1B4C"/>
    <w:rsid w:val="004B1D77"/>
    <w:rsid w:val="004B6554"/>
    <w:rsid w:val="004B6CF6"/>
    <w:rsid w:val="004D5384"/>
    <w:rsid w:val="004D542A"/>
    <w:rsid w:val="00503728"/>
    <w:rsid w:val="00514D56"/>
    <w:rsid w:val="00520063"/>
    <w:rsid w:val="00535942"/>
    <w:rsid w:val="005413E6"/>
    <w:rsid w:val="005537B6"/>
    <w:rsid w:val="00585DE1"/>
    <w:rsid w:val="005860F7"/>
    <w:rsid w:val="00597D45"/>
    <w:rsid w:val="005A58A9"/>
    <w:rsid w:val="005A6D2D"/>
    <w:rsid w:val="005B1982"/>
    <w:rsid w:val="005B2AAF"/>
    <w:rsid w:val="005B3531"/>
    <w:rsid w:val="005C641A"/>
    <w:rsid w:val="005D14A8"/>
    <w:rsid w:val="005E1F3E"/>
    <w:rsid w:val="005E4B9D"/>
    <w:rsid w:val="005F2674"/>
    <w:rsid w:val="005F28FD"/>
    <w:rsid w:val="005F4F6F"/>
    <w:rsid w:val="00611936"/>
    <w:rsid w:val="00635419"/>
    <w:rsid w:val="00637D80"/>
    <w:rsid w:val="00641676"/>
    <w:rsid w:val="00644BE7"/>
    <w:rsid w:val="00645767"/>
    <w:rsid w:val="0065312E"/>
    <w:rsid w:val="00660EAC"/>
    <w:rsid w:val="006618CE"/>
    <w:rsid w:val="00672AB5"/>
    <w:rsid w:val="00673A5F"/>
    <w:rsid w:val="006814DD"/>
    <w:rsid w:val="00687F41"/>
    <w:rsid w:val="0069481E"/>
    <w:rsid w:val="006952E6"/>
    <w:rsid w:val="006A3C27"/>
    <w:rsid w:val="006A3CA1"/>
    <w:rsid w:val="006B0572"/>
    <w:rsid w:val="006B3C63"/>
    <w:rsid w:val="006B3C74"/>
    <w:rsid w:val="006C5EDA"/>
    <w:rsid w:val="006C666D"/>
    <w:rsid w:val="006C6966"/>
    <w:rsid w:val="006C7509"/>
    <w:rsid w:val="006D0535"/>
    <w:rsid w:val="006D323D"/>
    <w:rsid w:val="006F68B5"/>
    <w:rsid w:val="0070112D"/>
    <w:rsid w:val="0073526A"/>
    <w:rsid w:val="00745C96"/>
    <w:rsid w:val="00746C49"/>
    <w:rsid w:val="00756A6B"/>
    <w:rsid w:val="00764376"/>
    <w:rsid w:val="0076746E"/>
    <w:rsid w:val="0077289E"/>
    <w:rsid w:val="00783770"/>
    <w:rsid w:val="007838F6"/>
    <w:rsid w:val="00785125"/>
    <w:rsid w:val="007937C9"/>
    <w:rsid w:val="007A22B2"/>
    <w:rsid w:val="007A42BF"/>
    <w:rsid w:val="007B794D"/>
    <w:rsid w:val="007C0570"/>
    <w:rsid w:val="007C49A0"/>
    <w:rsid w:val="007C5CCE"/>
    <w:rsid w:val="007D6512"/>
    <w:rsid w:val="007F3A11"/>
    <w:rsid w:val="007F3BEB"/>
    <w:rsid w:val="007F45F1"/>
    <w:rsid w:val="007F7F4B"/>
    <w:rsid w:val="008137F5"/>
    <w:rsid w:val="00813E40"/>
    <w:rsid w:val="00836613"/>
    <w:rsid w:val="00854762"/>
    <w:rsid w:val="0088082E"/>
    <w:rsid w:val="00880ACF"/>
    <w:rsid w:val="0089128F"/>
    <w:rsid w:val="008B3585"/>
    <w:rsid w:val="008B64A3"/>
    <w:rsid w:val="008B7F60"/>
    <w:rsid w:val="008E337A"/>
    <w:rsid w:val="008E7A7C"/>
    <w:rsid w:val="00915B0E"/>
    <w:rsid w:val="009329D7"/>
    <w:rsid w:val="00932A5B"/>
    <w:rsid w:val="0093523F"/>
    <w:rsid w:val="009405B8"/>
    <w:rsid w:val="00943995"/>
    <w:rsid w:val="00951076"/>
    <w:rsid w:val="0095580B"/>
    <w:rsid w:val="00956DC8"/>
    <w:rsid w:val="009600CF"/>
    <w:rsid w:val="00960614"/>
    <w:rsid w:val="00962EEA"/>
    <w:rsid w:val="00971CA7"/>
    <w:rsid w:val="00975A90"/>
    <w:rsid w:val="00983896"/>
    <w:rsid w:val="009A01DB"/>
    <w:rsid w:val="009A26A1"/>
    <w:rsid w:val="009A38D1"/>
    <w:rsid w:val="009A6638"/>
    <w:rsid w:val="009B3B1A"/>
    <w:rsid w:val="009B7077"/>
    <w:rsid w:val="009C2978"/>
    <w:rsid w:val="009D0145"/>
    <w:rsid w:val="009D27F7"/>
    <w:rsid w:val="009D5CD3"/>
    <w:rsid w:val="009E34EE"/>
    <w:rsid w:val="00A144E3"/>
    <w:rsid w:val="00A17D40"/>
    <w:rsid w:val="00A270E7"/>
    <w:rsid w:val="00A373B9"/>
    <w:rsid w:val="00A46A05"/>
    <w:rsid w:val="00A47243"/>
    <w:rsid w:val="00A51802"/>
    <w:rsid w:val="00A6581B"/>
    <w:rsid w:val="00A820B7"/>
    <w:rsid w:val="00A84BFF"/>
    <w:rsid w:val="00A87B33"/>
    <w:rsid w:val="00A87B5F"/>
    <w:rsid w:val="00A947C4"/>
    <w:rsid w:val="00AA23AE"/>
    <w:rsid w:val="00AA52FC"/>
    <w:rsid w:val="00AB1611"/>
    <w:rsid w:val="00AB1BC3"/>
    <w:rsid w:val="00AB5754"/>
    <w:rsid w:val="00AB6CFA"/>
    <w:rsid w:val="00AC20B9"/>
    <w:rsid w:val="00AD0CB6"/>
    <w:rsid w:val="00AD4B10"/>
    <w:rsid w:val="00AD5519"/>
    <w:rsid w:val="00AD7E0F"/>
    <w:rsid w:val="00AE2071"/>
    <w:rsid w:val="00AE2FBB"/>
    <w:rsid w:val="00AE3626"/>
    <w:rsid w:val="00AE466E"/>
    <w:rsid w:val="00AF1EA3"/>
    <w:rsid w:val="00AF6F47"/>
    <w:rsid w:val="00B01A96"/>
    <w:rsid w:val="00B02152"/>
    <w:rsid w:val="00B067C2"/>
    <w:rsid w:val="00B06C6D"/>
    <w:rsid w:val="00B13FB6"/>
    <w:rsid w:val="00B31641"/>
    <w:rsid w:val="00B37379"/>
    <w:rsid w:val="00B51699"/>
    <w:rsid w:val="00B56AAE"/>
    <w:rsid w:val="00B57588"/>
    <w:rsid w:val="00B70DC0"/>
    <w:rsid w:val="00B739DA"/>
    <w:rsid w:val="00B7639D"/>
    <w:rsid w:val="00B84011"/>
    <w:rsid w:val="00B91E96"/>
    <w:rsid w:val="00B92217"/>
    <w:rsid w:val="00BA02E4"/>
    <w:rsid w:val="00BA2C98"/>
    <w:rsid w:val="00BC1A3F"/>
    <w:rsid w:val="00BD70C1"/>
    <w:rsid w:val="00BE0AAC"/>
    <w:rsid w:val="00BE38C8"/>
    <w:rsid w:val="00BE56E3"/>
    <w:rsid w:val="00BF5079"/>
    <w:rsid w:val="00BF708D"/>
    <w:rsid w:val="00BF77C8"/>
    <w:rsid w:val="00C2482D"/>
    <w:rsid w:val="00C24C19"/>
    <w:rsid w:val="00C26759"/>
    <w:rsid w:val="00C3090B"/>
    <w:rsid w:val="00C572DE"/>
    <w:rsid w:val="00C71D07"/>
    <w:rsid w:val="00C74B54"/>
    <w:rsid w:val="00C76135"/>
    <w:rsid w:val="00C76B70"/>
    <w:rsid w:val="00C83698"/>
    <w:rsid w:val="00C93BD6"/>
    <w:rsid w:val="00CA5DF8"/>
    <w:rsid w:val="00CD60AB"/>
    <w:rsid w:val="00CE3A5A"/>
    <w:rsid w:val="00CE50C2"/>
    <w:rsid w:val="00CE727D"/>
    <w:rsid w:val="00CE7D57"/>
    <w:rsid w:val="00CF2E32"/>
    <w:rsid w:val="00D04168"/>
    <w:rsid w:val="00D07CB4"/>
    <w:rsid w:val="00D2190F"/>
    <w:rsid w:val="00D23537"/>
    <w:rsid w:val="00D43EFC"/>
    <w:rsid w:val="00D4543C"/>
    <w:rsid w:val="00D5178D"/>
    <w:rsid w:val="00D51A16"/>
    <w:rsid w:val="00D52B0E"/>
    <w:rsid w:val="00D60F28"/>
    <w:rsid w:val="00D74BAE"/>
    <w:rsid w:val="00D92D22"/>
    <w:rsid w:val="00D949FB"/>
    <w:rsid w:val="00D950F8"/>
    <w:rsid w:val="00DA353D"/>
    <w:rsid w:val="00DB4BBF"/>
    <w:rsid w:val="00DC203A"/>
    <w:rsid w:val="00DC4A11"/>
    <w:rsid w:val="00DD25A3"/>
    <w:rsid w:val="00DE6716"/>
    <w:rsid w:val="00DE780B"/>
    <w:rsid w:val="00DF4F33"/>
    <w:rsid w:val="00E01196"/>
    <w:rsid w:val="00E0194D"/>
    <w:rsid w:val="00E07241"/>
    <w:rsid w:val="00E163F4"/>
    <w:rsid w:val="00E2178A"/>
    <w:rsid w:val="00E22F90"/>
    <w:rsid w:val="00E2523D"/>
    <w:rsid w:val="00E312EA"/>
    <w:rsid w:val="00E504D9"/>
    <w:rsid w:val="00E50646"/>
    <w:rsid w:val="00E574A1"/>
    <w:rsid w:val="00E63B55"/>
    <w:rsid w:val="00E7111F"/>
    <w:rsid w:val="00E73A6B"/>
    <w:rsid w:val="00E74BCF"/>
    <w:rsid w:val="00E765CB"/>
    <w:rsid w:val="00E76CAF"/>
    <w:rsid w:val="00E805A6"/>
    <w:rsid w:val="00E821A2"/>
    <w:rsid w:val="00E9501E"/>
    <w:rsid w:val="00E95586"/>
    <w:rsid w:val="00EA7883"/>
    <w:rsid w:val="00EC51BA"/>
    <w:rsid w:val="00EE1F06"/>
    <w:rsid w:val="00EF29AB"/>
    <w:rsid w:val="00F142DC"/>
    <w:rsid w:val="00F14DE5"/>
    <w:rsid w:val="00F20059"/>
    <w:rsid w:val="00F2273C"/>
    <w:rsid w:val="00F32BA5"/>
    <w:rsid w:val="00F331BC"/>
    <w:rsid w:val="00F44931"/>
    <w:rsid w:val="00F45431"/>
    <w:rsid w:val="00F51346"/>
    <w:rsid w:val="00F62653"/>
    <w:rsid w:val="00F64CF9"/>
    <w:rsid w:val="00F74308"/>
    <w:rsid w:val="00F85504"/>
    <w:rsid w:val="00FD223C"/>
    <w:rsid w:val="00FF1C83"/>
    <w:rsid w:val="00FF61EA"/>
    <w:rsid w:val="01740FA6"/>
    <w:rsid w:val="03277AEE"/>
    <w:rsid w:val="09BF05F1"/>
    <w:rsid w:val="0EBF5D6C"/>
    <w:rsid w:val="10C40B26"/>
    <w:rsid w:val="11860AFB"/>
    <w:rsid w:val="14645659"/>
    <w:rsid w:val="17C66775"/>
    <w:rsid w:val="18770142"/>
    <w:rsid w:val="19A02B60"/>
    <w:rsid w:val="1B067D19"/>
    <w:rsid w:val="21FA61F2"/>
    <w:rsid w:val="22503B80"/>
    <w:rsid w:val="298F17BF"/>
    <w:rsid w:val="2BE42BD3"/>
    <w:rsid w:val="2CA67E37"/>
    <w:rsid w:val="30F607F1"/>
    <w:rsid w:val="317136CD"/>
    <w:rsid w:val="31AC24EA"/>
    <w:rsid w:val="366337ED"/>
    <w:rsid w:val="45933C72"/>
    <w:rsid w:val="472C15E5"/>
    <w:rsid w:val="47562A5F"/>
    <w:rsid w:val="4B4345C1"/>
    <w:rsid w:val="4C3B6976"/>
    <w:rsid w:val="51DC2670"/>
    <w:rsid w:val="555761E8"/>
    <w:rsid w:val="57904998"/>
    <w:rsid w:val="5C690FBE"/>
    <w:rsid w:val="5FCA5CA8"/>
    <w:rsid w:val="61593D0C"/>
    <w:rsid w:val="623B37C7"/>
    <w:rsid w:val="63D53BEC"/>
    <w:rsid w:val="68EB2C3F"/>
    <w:rsid w:val="68EC03E8"/>
    <w:rsid w:val="6E5B3674"/>
    <w:rsid w:val="6F0736D9"/>
    <w:rsid w:val="76817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99"/>
    <w:rPr>
      <w:rFonts w:eastAsia="仿宋_GB2312"/>
      <w:kern w:val="2"/>
      <w:sz w:val="18"/>
      <w:szCs w:val="18"/>
    </w:rPr>
  </w:style>
  <w:style w:type="paragraph" w:customStyle="1" w:styleId="7">
    <w:name w:val="中文报告书样式"/>
    <w:basedOn w:val="1"/>
    <w:link w:val="8"/>
    <w:uiPriority w:val="0"/>
    <w:pPr>
      <w:adjustRightInd w:val="0"/>
      <w:spacing w:line="420" w:lineRule="atLeast"/>
      <w:jc w:val="left"/>
      <w:textAlignment w:val="baseline"/>
    </w:pPr>
    <w:rPr>
      <w:rFonts w:ascii="Times New Roman" w:hAnsi="Times New Roman"/>
      <w:kern w:val="24"/>
      <w:sz w:val="24"/>
      <w:szCs w:val="20"/>
    </w:rPr>
  </w:style>
  <w:style w:type="character" w:customStyle="1" w:styleId="8">
    <w:name w:val="中文报告书样式 Char1"/>
    <w:basedOn w:val="5"/>
    <w:link w:val="7"/>
    <w:locked/>
    <w:uiPriority w:val="0"/>
    <w:rPr>
      <w:rFonts w:ascii="Times New Roman" w:hAnsi="Times New Roman" w:eastAsia="仿宋_GB2312"/>
      <w:kern w:val="24"/>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1666</Words>
  <Characters>1850</Characters>
  <Lines>13</Lines>
  <Paragraphs>3</Paragraphs>
  <TotalTime>0</TotalTime>
  <ScaleCrop>false</ScaleCrop>
  <LinksUpToDate>false</LinksUpToDate>
  <CharactersWithSpaces>1907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2023-01-29T00:49:00Z</dcterms:created>
  <dc:creator>Administrator</dc:creator>
  <cp:lastModifiedBy>北大港湿地环保卫士</cp:lastModifiedBy>
  <cp:lastPrinted>2022-08-08T07:46:00Z</cp:lastPrinted>
  <dcterms:modified xsi:type="dcterms:W3CDTF">2023-02-23T02:55:05Z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74EBA73A189749EBB373A7D061CD85E6</vt:lpwstr>
  </property>
</Properties>
</file>