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p>
    <w:p>
      <w:pPr>
        <w:spacing w:line="360" w:lineRule="auto"/>
        <w:jc w:val="both"/>
        <w:rPr>
          <w:rFonts w:ascii="仿宋_GB2312" w:eastAsia="仿宋_GB2312"/>
          <w:sz w:val="32"/>
          <w:szCs w:val="32"/>
        </w:rPr>
      </w:pPr>
    </w:p>
    <w:p>
      <w:pPr>
        <w:jc w:val="center"/>
        <w:rPr>
          <w:rFonts w:hint="default" w:ascii="Times New Roman" w:hAnsi="Times New Roman" w:eastAsia="仿宋_GB2312" w:cs="Times New Roman"/>
          <w:sz w:val="32"/>
          <w:szCs w:val="32"/>
        </w:rPr>
      </w:pPr>
    </w:p>
    <w:p>
      <w:pPr>
        <w:jc w:val="center"/>
        <w:rPr>
          <w:rFonts w:ascii="仿宋_GB2312" w:eastAsia="仿宋_GB2312"/>
          <w:sz w:val="32"/>
          <w:szCs w:val="32"/>
        </w:rPr>
      </w:pPr>
      <w:r>
        <w:rPr>
          <w:rFonts w:hint="default" w:ascii="Times New Roman" w:hAnsi="Times New Roman" w:eastAsia="仿宋_GB2312" w:cs="Times New Roman"/>
          <w:sz w:val="32"/>
          <w:szCs w:val="32"/>
        </w:rPr>
        <w:t>津滨审批二室准〔20</w:t>
      </w:r>
      <w:r>
        <w:rPr>
          <w:rFonts w:hint="eastAsia" w:eastAsia="仿宋_GB2312" w:cs="Times New Roman"/>
          <w:sz w:val="32"/>
          <w:szCs w:val="32"/>
          <w:lang w:val="en-US" w:eastAsia="zh-CN"/>
        </w:rPr>
        <w:t>23</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260</w:t>
      </w:r>
      <w:r>
        <w:rPr>
          <w:rFonts w:hint="default" w:ascii="Times New Roman" w:hAnsi="Times New Roman" w:eastAsia="仿宋_GB2312" w:cs="Times New Roman"/>
          <w:sz w:val="32"/>
          <w:szCs w:val="32"/>
        </w:rPr>
        <w:t>号</w:t>
      </w:r>
      <w:bookmarkStart w:id="0" w:name="_GoBack"/>
      <w:bookmarkEnd w:id="0"/>
    </w:p>
    <w:p>
      <w:pPr>
        <w:pStyle w:val="11"/>
        <w:spacing w:line="580" w:lineRule="exact"/>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（项目代码：2304-120116-89-01-228525</w:t>
      </w:r>
      <w:r>
        <w:rPr>
          <w:rFonts w:hint="eastAsia" w:eastAsia="仿宋_GB2312" w:cs="Times New Roman"/>
          <w:kern w:val="2"/>
          <w:sz w:val="32"/>
          <w:szCs w:val="32"/>
          <w:lang w:val="en-US" w:eastAsia="zh-CN" w:bidi="ar-SA"/>
        </w:rPr>
        <w:t>）</w:t>
      </w:r>
    </w:p>
    <w:p>
      <w:pPr>
        <w:pStyle w:val="11"/>
        <w:keepNext w:val="0"/>
        <w:keepLines w:val="0"/>
        <w:pageBreakBefore w:val="0"/>
        <w:widowControl w:val="0"/>
        <w:kinsoku/>
        <w:wordWrap/>
        <w:overflowPunct/>
        <w:topLinePunct w:val="0"/>
        <w:autoSpaceDE/>
        <w:autoSpaceDN/>
        <w:bidi w:val="0"/>
        <w:adjustRightInd w:val="0"/>
        <w:snapToGrid/>
        <w:spacing w:line="660" w:lineRule="exact"/>
        <w:jc w:val="center"/>
        <w:textAlignment w:val="baseline"/>
        <w:outlineLvl w:val="9"/>
        <w:rPr>
          <w:rFonts w:hint="eastAsia" w:ascii="方正小标宋简体" w:hAnsi="宋体" w:eastAsia="方正小标宋简体"/>
          <w:color w:val="000000"/>
          <w:sz w:val="44"/>
        </w:rPr>
      </w:pPr>
      <w:r>
        <w:rPr>
          <w:rFonts w:hint="eastAsia" w:ascii="方正小标宋简体" w:hAnsi="宋体" w:eastAsia="方正小标宋简体"/>
          <w:color w:val="000000"/>
          <w:sz w:val="44"/>
        </w:rPr>
        <w:t>关于</w:t>
      </w:r>
      <w:r>
        <w:rPr>
          <w:rFonts w:hint="eastAsia" w:ascii="方正小标宋简体" w:hAnsi="宋体" w:eastAsia="方正小标宋简体"/>
          <w:color w:val="000000"/>
          <w:sz w:val="44"/>
          <w:lang w:eastAsia="zh-CN"/>
        </w:rPr>
        <w:t>天津华电滨海汉沽48MW“绿色生态复合”光伏发电项目110kV升压站项目</w:t>
      </w:r>
    </w:p>
    <w:p>
      <w:pPr>
        <w:pStyle w:val="11"/>
        <w:keepNext w:val="0"/>
        <w:keepLines w:val="0"/>
        <w:pageBreakBefore w:val="0"/>
        <w:widowControl w:val="0"/>
        <w:kinsoku/>
        <w:wordWrap/>
        <w:overflowPunct/>
        <w:topLinePunct w:val="0"/>
        <w:autoSpaceDE/>
        <w:autoSpaceDN/>
        <w:bidi w:val="0"/>
        <w:adjustRightInd w:val="0"/>
        <w:snapToGrid/>
        <w:spacing w:line="660" w:lineRule="exact"/>
        <w:jc w:val="center"/>
        <w:textAlignment w:val="baseline"/>
        <w:outlineLvl w:val="9"/>
        <w:rPr>
          <w:rFonts w:ascii="方正小标宋简体" w:hAnsi="宋体" w:eastAsia="方正小标宋简体"/>
          <w:color w:val="000000"/>
          <w:sz w:val="44"/>
        </w:rPr>
      </w:pPr>
      <w:r>
        <w:rPr>
          <w:rFonts w:ascii="方正小标宋简体" w:hAnsi="宋体" w:eastAsia="方正小标宋简体"/>
          <w:color w:val="000000"/>
          <w:sz w:val="44"/>
        </w:rPr>
        <w:t>环境影响报告表的批复</w:t>
      </w:r>
    </w:p>
    <w:p>
      <w:pPr>
        <w:pStyle w:val="2"/>
      </w:pPr>
    </w:p>
    <w:p>
      <w:pPr>
        <w:keepNext w:val="0"/>
        <w:keepLines w:val="0"/>
        <w:pageBreakBefore w:val="0"/>
        <w:widowControl w:val="0"/>
        <w:kinsoku/>
        <w:wordWrap/>
        <w:overflowPunct/>
        <w:topLinePunct w:val="0"/>
        <w:autoSpaceDE/>
        <w:autoSpaceDN/>
        <w:bidi w:val="0"/>
        <w:adjustRightInd/>
        <w:snapToGrid/>
        <w:spacing w:line="560" w:lineRule="exact"/>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天津滨海华电新能源发电有限公司</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你公司呈报的《</w:t>
      </w:r>
      <w:r>
        <w:rPr>
          <w:rFonts w:hint="eastAsia" w:eastAsia="仿宋_GB2312" w:cs="Times New Roman"/>
          <w:sz w:val="32"/>
          <w:szCs w:val="32"/>
          <w:lang w:eastAsia="zh-CN"/>
        </w:rPr>
        <w:t>关于报批天津华电滨海汉沽48MW“绿色生态复合”光伏发电项目110kV升压站项目</w:t>
      </w:r>
      <w:r>
        <w:rPr>
          <w:rFonts w:hint="eastAsia" w:eastAsia="仿宋_GB2312" w:cs="Times New Roman"/>
          <w:sz w:val="32"/>
          <w:szCs w:val="32"/>
          <w:lang w:val="en-US" w:eastAsia="zh-CN"/>
        </w:rPr>
        <w:t>环境影响报告表的申请</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津诚环安（天津）科技发展有限公司编制的</w:t>
      </w:r>
      <w:r>
        <w:rPr>
          <w:rFonts w:hint="default" w:eastAsia="仿宋_GB2312" w:cs="Times New Roman"/>
          <w:sz w:val="32"/>
          <w:szCs w:val="32"/>
          <w:lang w:val="en-US" w:eastAsia="zh-CN"/>
        </w:rPr>
        <w:t>《天津华电滨海汉沽48MW“绿色生态复合”光伏发电项目110kV升压站环境影</w:t>
      </w:r>
      <w:r>
        <w:rPr>
          <w:rFonts w:hint="default" w:ascii="Times New Roman" w:hAnsi="Times New Roman" w:eastAsia="仿宋_GB2312" w:cs="Times New Roman"/>
          <w:sz w:val="32"/>
          <w:szCs w:val="32"/>
        </w:rPr>
        <w:t>响报告表》</w:t>
      </w:r>
      <w:r>
        <w:rPr>
          <w:rFonts w:hint="eastAsia" w:eastAsia="仿宋_GB2312" w:cs="Times New Roman"/>
          <w:sz w:val="32"/>
          <w:szCs w:val="32"/>
          <w:lang w:val="en-US" w:eastAsia="zh-CN"/>
        </w:rPr>
        <w:t>等文件</w:t>
      </w:r>
      <w:r>
        <w:rPr>
          <w:rFonts w:hint="default" w:ascii="Times New Roman" w:hAnsi="Times New Roman" w:eastAsia="仿宋_GB2312" w:cs="Times New Roman"/>
          <w:sz w:val="32"/>
          <w:szCs w:val="32"/>
        </w:rPr>
        <w:t>收悉。经研究，现批复如下：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eastAsia" w:eastAsia="仿宋_GB2312" w:cs="Times New Roman"/>
          <w:sz w:val="32"/>
          <w:szCs w:val="32"/>
          <w:lang w:eastAsia="zh-CN"/>
        </w:rPr>
        <w:t>为配合</w:t>
      </w:r>
      <w:r>
        <w:rPr>
          <w:rFonts w:hint="eastAsia" w:eastAsia="仿宋_GB2312" w:cs="Times New Roman"/>
          <w:sz w:val="32"/>
          <w:szCs w:val="32"/>
          <w:lang w:val="en" w:eastAsia="zh-CN"/>
        </w:rPr>
        <w:t>天津华电滨海汉沽48MW“绿色生态复合”光伏发电项目，</w:t>
      </w:r>
      <w:r>
        <w:rPr>
          <w:rFonts w:hint="default" w:ascii="Times New Roman" w:hAnsi="Times New Roman" w:eastAsia="仿宋_GB2312" w:cs="Times New Roman"/>
          <w:sz w:val="32"/>
          <w:szCs w:val="32"/>
        </w:rPr>
        <w:t>你公司拟在</w:t>
      </w:r>
      <w:r>
        <w:rPr>
          <w:rFonts w:hint="eastAsia" w:eastAsia="仿宋_GB2312" w:cs="Times New Roman"/>
          <w:sz w:val="32"/>
          <w:szCs w:val="32"/>
          <w:lang w:val="en-US" w:eastAsia="zh-CN"/>
        </w:rPr>
        <w:t>滨海新区汉沽街新立村</w:t>
      </w:r>
      <w:r>
        <w:rPr>
          <w:rFonts w:hint="eastAsia" w:eastAsia="仿宋_GB2312"/>
          <w:bCs/>
          <w:sz w:val="32"/>
          <w:szCs w:val="32"/>
        </w:rPr>
        <w:t>建设</w:t>
      </w:r>
      <w:r>
        <w:rPr>
          <w:rFonts w:hint="eastAsia" w:eastAsia="仿宋_GB2312" w:cs="Times New Roman"/>
          <w:sz w:val="32"/>
          <w:szCs w:val="32"/>
          <w:lang w:val="en" w:eastAsia="zh-CN"/>
        </w:rPr>
        <w:t>“天津华电滨海汉沽48MW“绿色生态复合”光伏发电项目110kV升压站项目”（以下简称“项目”），建设内容主要包括一台容量为</w:t>
      </w:r>
      <w:r>
        <w:rPr>
          <w:rFonts w:hint="eastAsia" w:eastAsia="仿宋_GB2312" w:cs="Times New Roman"/>
          <w:sz w:val="32"/>
          <w:szCs w:val="32"/>
          <w:lang w:val="en-US" w:eastAsia="zh-CN"/>
        </w:rPr>
        <w:t>50MVA的主变压器（涉及进线电压为35kV、出线电压为110kV）</w:t>
      </w:r>
      <w:r>
        <w:rPr>
          <w:rFonts w:hint="eastAsia" w:eastAsia="仿宋_GB2312" w:cs="Times New Roman"/>
          <w:sz w:val="32"/>
          <w:szCs w:val="32"/>
          <w:lang w:val="en" w:eastAsia="zh-CN"/>
        </w:rPr>
        <w:t>，及</w:t>
      </w:r>
      <w:r>
        <w:rPr>
          <w:rFonts w:hint="eastAsia" w:eastAsia="仿宋_GB2312" w:cs="Times New Roman"/>
          <w:sz w:val="32"/>
          <w:szCs w:val="32"/>
          <w:lang w:val="en-US" w:eastAsia="zh-CN"/>
        </w:rPr>
        <w:t>35开关站、SVG预制舱等。工程不含站外线路，须</w:t>
      </w:r>
      <w:r>
        <w:rPr>
          <w:rFonts w:hint="eastAsia" w:eastAsia="仿宋_GB2312"/>
          <w:bCs/>
          <w:sz w:val="32"/>
          <w:szCs w:val="32"/>
          <w:lang w:val="en-US" w:eastAsia="zh-CN"/>
        </w:rPr>
        <w:t>另行履行相应环保手续。</w:t>
      </w:r>
      <w:r>
        <w:rPr>
          <w:rFonts w:hint="eastAsia" w:eastAsia="仿宋_GB2312"/>
          <w:bCs/>
          <w:sz w:val="32"/>
          <w:szCs w:val="32"/>
          <w:lang w:eastAsia="zh-CN"/>
        </w:rPr>
        <w:t>工程</w:t>
      </w:r>
      <w:r>
        <w:rPr>
          <w:rFonts w:hint="default" w:eastAsia="仿宋_GB2312"/>
          <w:bCs/>
          <w:sz w:val="32"/>
          <w:szCs w:val="32"/>
        </w:rPr>
        <w:t>总投资为</w:t>
      </w:r>
      <w:r>
        <w:rPr>
          <w:rFonts w:hint="eastAsia" w:eastAsia="仿宋_GB2312"/>
          <w:bCs/>
          <w:sz w:val="32"/>
          <w:szCs w:val="32"/>
          <w:lang w:val="en-US" w:eastAsia="zh-CN"/>
        </w:rPr>
        <w:t>1800</w:t>
      </w:r>
      <w:r>
        <w:rPr>
          <w:rFonts w:hint="default" w:eastAsia="仿宋_GB2312"/>
          <w:bCs/>
          <w:sz w:val="32"/>
          <w:szCs w:val="32"/>
        </w:rPr>
        <w:t>万元，环保投资</w:t>
      </w:r>
      <w:r>
        <w:rPr>
          <w:rFonts w:hint="eastAsia" w:eastAsia="仿宋_GB2312"/>
          <w:bCs/>
          <w:sz w:val="32"/>
          <w:szCs w:val="32"/>
          <w:lang w:val="en-US" w:eastAsia="zh-CN"/>
        </w:rPr>
        <w:t>56</w:t>
      </w:r>
      <w:r>
        <w:rPr>
          <w:rFonts w:hint="default" w:eastAsia="仿宋_GB2312"/>
          <w:bCs/>
          <w:sz w:val="32"/>
          <w:szCs w:val="32"/>
        </w:rPr>
        <w:t>万元，约占总投资的</w:t>
      </w:r>
      <w:r>
        <w:rPr>
          <w:rFonts w:hint="eastAsia" w:eastAsia="仿宋_GB2312"/>
          <w:bCs/>
          <w:sz w:val="32"/>
          <w:szCs w:val="32"/>
          <w:lang w:val="en-US" w:eastAsia="zh-CN"/>
        </w:rPr>
        <w:t>3.1</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7</w:t>
      </w:r>
      <w:r>
        <w:rPr>
          <w:rFonts w:hint="default" w:ascii="Times New Roman" w:hAnsi="Times New Roman" w:eastAsia="仿宋_GB2312" w:cs="Times New Roman"/>
          <w:sz w:val="32"/>
          <w:szCs w:val="32"/>
        </w:rPr>
        <w:t>日至</w:t>
      </w:r>
      <w:r>
        <w:rPr>
          <w:rFonts w:hint="eastAsia"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13</w:t>
      </w:r>
      <w:r>
        <w:rPr>
          <w:rFonts w:hint="default" w:ascii="Times New Roman" w:hAnsi="Times New Roman" w:eastAsia="仿宋_GB2312" w:cs="Times New Roman"/>
          <w:sz w:val="32"/>
          <w:szCs w:val="32"/>
        </w:rPr>
        <w:t>日，我局将该项目</w:t>
      </w:r>
      <w:r>
        <w:rPr>
          <w:rFonts w:hint="default" w:ascii="Times New Roman" w:hAnsi="Times New Roman" w:eastAsia="仿宋_GB2312" w:cs="Times New Roman"/>
          <w:sz w:val="32"/>
          <w:szCs w:val="32"/>
          <w:lang w:eastAsia="zh-CN"/>
        </w:rPr>
        <w:t>环评</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受理情况进行</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rPr>
        <w:t>公示</w:t>
      </w:r>
      <w:r>
        <w:rPr>
          <w:rFonts w:hint="default" w:eastAsia="仿宋_GB2312" w:cs="Times New Roman"/>
          <w:sz w:val="32"/>
          <w:szCs w:val="32"/>
          <w:lang w:val="en-US" w:eastAsia="zh-CN"/>
        </w:rPr>
        <w:t>；</w:t>
      </w:r>
      <w:r>
        <w:rPr>
          <w:rFonts w:hint="eastAsia" w:ascii="Times New Roman" w:hAnsi="Times New Roman" w:eastAsia="仿宋_GB2312" w:cs="Times New Roman"/>
          <w:sz w:val="32"/>
          <w:szCs w:val="32"/>
          <w:highlight w:val="none"/>
          <w:lang w:val="en-US" w:eastAsia="zh-CN"/>
        </w:rPr>
        <w:t>1</w:t>
      </w:r>
      <w:r>
        <w:rPr>
          <w:rFonts w:hint="eastAsia"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val="en-US" w:eastAsia="zh-CN"/>
        </w:rPr>
        <w:t>月</w:t>
      </w:r>
      <w:r>
        <w:rPr>
          <w:rFonts w:hint="eastAsia" w:eastAsia="仿宋_GB2312" w:cs="Times New Roman"/>
          <w:sz w:val="32"/>
          <w:szCs w:val="32"/>
          <w:highlight w:val="none"/>
          <w:lang w:val="en-US" w:eastAsia="zh-CN"/>
        </w:rPr>
        <w:t>17</w:t>
      </w:r>
      <w:r>
        <w:rPr>
          <w:rFonts w:hint="default" w:ascii="Times New Roman" w:hAnsi="Times New Roman" w:eastAsia="仿宋_GB2312" w:cs="Times New Roman"/>
          <w:sz w:val="32"/>
          <w:szCs w:val="32"/>
          <w:highlight w:val="none"/>
          <w:lang w:val="en-US" w:eastAsia="zh-CN"/>
        </w:rPr>
        <w:t>日至</w:t>
      </w:r>
      <w:r>
        <w:rPr>
          <w:rFonts w:hint="eastAsia" w:ascii="Times New Roman" w:hAnsi="Times New Roman" w:eastAsia="仿宋_GB2312" w:cs="Times New Roman"/>
          <w:sz w:val="32"/>
          <w:szCs w:val="32"/>
          <w:highlight w:val="none"/>
          <w:lang w:val="en-US" w:eastAsia="zh-CN"/>
        </w:rPr>
        <w:t>1</w:t>
      </w:r>
      <w:r>
        <w:rPr>
          <w:rFonts w:hint="eastAsia"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val="en-US" w:eastAsia="zh-CN"/>
        </w:rPr>
        <w:t>月</w:t>
      </w:r>
      <w:r>
        <w:rPr>
          <w:rFonts w:hint="eastAsia" w:eastAsia="仿宋_GB2312" w:cs="Times New Roman"/>
          <w:sz w:val="32"/>
          <w:szCs w:val="32"/>
          <w:highlight w:val="none"/>
          <w:lang w:val="en-US" w:eastAsia="zh-CN"/>
        </w:rPr>
        <w:t>23</w:t>
      </w:r>
      <w:r>
        <w:rPr>
          <w:rFonts w:hint="default" w:ascii="Times New Roman" w:hAnsi="Times New Roman" w:eastAsia="仿宋_GB2312" w:cs="Times New Roman"/>
          <w:sz w:val="32"/>
          <w:szCs w:val="32"/>
          <w:highlight w:val="none"/>
          <w:lang w:val="en-US" w:eastAsia="zh-CN"/>
        </w:rPr>
        <w:t>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将该项目</w:t>
      </w:r>
      <w:r>
        <w:rPr>
          <w:rFonts w:hint="default" w:ascii="Times New Roman" w:hAnsi="Times New Roman" w:eastAsia="仿宋_GB2312" w:cs="Times New Roman"/>
          <w:sz w:val="32"/>
          <w:szCs w:val="32"/>
          <w:lang w:eastAsia="zh-CN"/>
        </w:rPr>
        <w:t>环评</w:t>
      </w:r>
      <w:r>
        <w:rPr>
          <w:rFonts w:hint="eastAsia" w:eastAsia="仿宋_GB2312" w:cs="Times New Roman"/>
          <w:sz w:val="32"/>
          <w:szCs w:val="32"/>
          <w:lang w:eastAsia="zh-CN"/>
        </w:rPr>
        <w:t>的</w:t>
      </w:r>
      <w:r>
        <w:rPr>
          <w:rFonts w:hint="default" w:ascii="Times New Roman" w:hAnsi="Times New Roman" w:eastAsia="仿宋_GB2312" w:cs="Times New Roman"/>
          <w:sz w:val="32"/>
          <w:szCs w:val="32"/>
        </w:rPr>
        <w:t>拟批复情况进行</w:t>
      </w:r>
      <w:r>
        <w:rPr>
          <w:rFonts w:hint="eastAsia" w:eastAsia="仿宋_GB2312" w:cs="Times New Roman"/>
          <w:sz w:val="32"/>
          <w:szCs w:val="32"/>
          <w:lang w:val="en-US" w:eastAsia="zh-CN"/>
        </w:rPr>
        <w:t>了</w:t>
      </w:r>
      <w:r>
        <w:rPr>
          <w:rFonts w:hint="default" w:ascii="Times New Roman" w:hAnsi="Times New Roman" w:eastAsia="仿宋_GB2312" w:cs="Times New Roman"/>
          <w:sz w:val="32"/>
          <w:szCs w:val="32"/>
        </w:rPr>
        <w:t>公示；根据公众反馈意见情况及环评报告结论，在严格落实环评报告所提出的各项污染防治措施、确保各类污染物稳定达标的前提下，</w:t>
      </w:r>
      <w:r>
        <w:rPr>
          <w:rFonts w:hint="eastAsia" w:eastAsia="仿宋_GB2312" w:cs="Times New Roman"/>
          <w:sz w:val="32"/>
          <w:szCs w:val="32"/>
          <w:lang w:val="en-US" w:eastAsia="zh-CN"/>
        </w:rPr>
        <w:t>该项目具备环境可行性</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二、项目建设和运营期间，你公司应重点做好以下工作：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1.施工期间应严格执行国家相关环保法律法规和落实环评报告中提出的污染防范措施：做到合法施工，文明生产，减少扬尘污染；</w:t>
      </w:r>
      <w:r>
        <w:rPr>
          <w:rFonts w:hint="eastAsia" w:eastAsia="仿宋_GB2312"/>
          <w:sz w:val="32"/>
          <w:szCs w:val="32"/>
          <w:lang w:eastAsia="zh-CN"/>
        </w:rPr>
        <w:t>妥善处理</w:t>
      </w:r>
      <w:r>
        <w:rPr>
          <w:rFonts w:hint="eastAsia" w:eastAsia="仿宋_GB2312"/>
          <w:sz w:val="32"/>
          <w:szCs w:val="32"/>
        </w:rPr>
        <w:t>施工</w:t>
      </w:r>
      <w:r>
        <w:rPr>
          <w:rFonts w:hint="eastAsia" w:eastAsia="仿宋_GB2312"/>
          <w:sz w:val="32"/>
          <w:szCs w:val="32"/>
          <w:lang w:eastAsia="zh-CN"/>
        </w:rPr>
        <w:t>产生的施工</w:t>
      </w:r>
      <w:r>
        <w:rPr>
          <w:rFonts w:hint="eastAsia" w:eastAsia="仿宋_GB2312"/>
          <w:sz w:val="32"/>
          <w:szCs w:val="32"/>
        </w:rPr>
        <w:t>废水</w:t>
      </w:r>
      <w:r>
        <w:rPr>
          <w:rFonts w:hint="eastAsia" w:eastAsia="仿宋_GB2312" w:cs="Times New Roman"/>
          <w:sz w:val="32"/>
          <w:szCs w:val="32"/>
          <w:lang w:val="en-US" w:eastAsia="zh-CN"/>
        </w:rPr>
        <w:t>和</w:t>
      </w:r>
      <w:r>
        <w:rPr>
          <w:rFonts w:hint="default" w:ascii="Times New Roman" w:hAnsi="Times New Roman" w:eastAsia="仿宋_GB2312" w:cs="Times New Roman"/>
          <w:sz w:val="32"/>
          <w:szCs w:val="32"/>
        </w:rPr>
        <w:t>车辆</w:t>
      </w:r>
      <w:r>
        <w:rPr>
          <w:rFonts w:hint="eastAsia" w:eastAsia="仿宋_GB2312" w:cs="Times New Roman"/>
          <w:sz w:val="32"/>
          <w:szCs w:val="32"/>
          <w:lang w:val="en-US" w:eastAsia="zh-CN"/>
        </w:rPr>
        <w:t>冲洗</w:t>
      </w:r>
      <w:r>
        <w:rPr>
          <w:rFonts w:hint="default" w:ascii="Times New Roman" w:hAnsi="Times New Roman" w:eastAsia="仿宋_GB2312" w:cs="Times New Roman"/>
          <w:sz w:val="32"/>
          <w:szCs w:val="32"/>
        </w:rPr>
        <w:t>废水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经沉淀后用于</w:t>
      </w:r>
      <w:r>
        <w:rPr>
          <w:rFonts w:hint="default" w:ascii="Times New Roman" w:hAnsi="Times New Roman" w:eastAsia="仿宋_GB2312" w:cs="Times New Roman"/>
          <w:sz w:val="32"/>
          <w:szCs w:val="32"/>
          <w:lang w:val="en-US" w:eastAsia="zh-CN"/>
        </w:rPr>
        <w:t>施工现场洒水抑尘；</w:t>
      </w:r>
      <w:r>
        <w:rPr>
          <w:rFonts w:hint="default" w:ascii="Times New Roman" w:hAnsi="Times New Roman" w:eastAsia="仿宋_GB2312" w:cs="Times New Roman"/>
          <w:sz w:val="32"/>
          <w:szCs w:val="32"/>
        </w:rPr>
        <w:t>施工场地固体垃圾应及时清运；合理安排施工时间和施工区域，加强对高噪声机械的管理。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outlineLvl w:val="9"/>
        <w:rPr>
          <w:rFonts w:hint="default"/>
        </w:rPr>
      </w:pPr>
      <w:r>
        <w:rPr>
          <w:rFonts w:hint="eastAsia" w:eastAsia="仿宋_GB2312" w:cs="Times New Roman"/>
          <w:sz w:val="32"/>
          <w:szCs w:val="32"/>
          <w:lang w:val="en-US" w:eastAsia="zh-CN"/>
        </w:rPr>
        <w:t>2.</w:t>
      </w:r>
      <w:r>
        <w:rPr>
          <w:rFonts w:hint="eastAsia" w:eastAsia="仿宋_GB2312" w:cs="Times New Roman"/>
          <w:sz w:val="32"/>
          <w:szCs w:val="32"/>
          <w:lang w:eastAsia="zh-CN"/>
        </w:rPr>
        <w:t>变电站值守人员生活污水定期委托清掏，产生的生活垃圾统一交由环卫部门进行清运。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outlineLvl w:val="9"/>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选用低噪声设备，厂界噪声</w:t>
      </w:r>
      <w:r>
        <w:rPr>
          <w:rFonts w:hint="eastAsia" w:ascii="Times New Roman" w:hAnsi="Times New Roman" w:eastAsia="仿宋_GB2312" w:cs="Times New Roman"/>
          <w:sz w:val="32"/>
          <w:szCs w:val="32"/>
          <w:lang w:val="en-US" w:eastAsia="zh-CN"/>
        </w:rPr>
        <w:t>排放达标。</w:t>
      </w:r>
    </w:p>
    <w:p>
      <w:pPr>
        <w:keepNext w:val="0"/>
        <w:keepLines w:val="0"/>
        <w:pageBreakBefore w:val="0"/>
        <w:widowControl w:val="0"/>
        <w:kinsoku/>
        <w:wordWrap/>
        <w:overflowPunct/>
        <w:topLinePunct w:val="0"/>
        <w:autoSpaceDE/>
        <w:autoSpaceDN/>
        <w:bidi w:val="0"/>
        <w:spacing w:line="560" w:lineRule="exact"/>
        <w:ind w:firstLine="630"/>
        <w:outlineLvl w:val="9"/>
        <w:rPr>
          <w:rFonts w:hint="eastAsia" w:eastAsia="仿宋_GB2312" w:cs="Times New Roman"/>
          <w:sz w:val="32"/>
          <w:szCs w:val="32"/>
          <w:lang w:eastAsia="zh-CN"/>
        </w:rPr>
      </w:pP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eastAsia" w:eastAsia="仿宋_GB2312" w:cs="Times New Roman"/>
          <w:sz w:val="32"/>
          <w:szCs w:val="32"/>
          <w:lang w:eastAsia="zh-CN"/>
        </w:rPr>
        <w:t>维护变压器时，更换下来的</w:t>
      </w:r>
      <w:r>
        <w:rPr>
          <w:rFonts w:hint="eastAsia" w:eastAsia="仿宋_GB2312" w:cs="Times New Roman"/>
          <w:sz w:val="32"/>
          <w:szCs w:val="32"/>
          <w:lang w:val="en-US" w:eastAsia="zh-CN"/>
        </w:rPr>
        <w:t>废蓄电池、废变压器油等危险废物</w:t>
      </w:r>
      <w:r>
        <w:rPr>
          <w:rFonts w:hint="default" w:ascii="Times New Roman" w:hAnsi="Times New Roman" w:eastAsia="仿宋_GB2312" w:cs="Times New Roman"/>
          <w:sz w:val="32"/>
          <w:szCs w:val="32"/>
          <w:lang w:val="en-US" w:eastAsia="zh-CN"/>
        </w:rPr>
        <w:t>交由有资质的单位处置</w:t>
      </w:r>
      <w:r>
        <w:rPr>
          <w:rFonts w:hint="eastAsia" w:eastAsia="仿宋_GB2312" w:cs="Times New Roman"/>
          <w:sz w:val="32"/>
          <w:szCs w:val="32"/>
          <w:lang w:val="en-US" w:eastAsia="zh-CN"/>
        </w:rPr>
        <w:t>，不在现场存放，做到“即产即清”。</w:t>
      </w:r>
      <w:r>
        <w:rPr>
          <w:rFonts w:hint="eastAsia" w:eastAsia="仿宋_GB2312" w:cs="Times New Roman"/>
          <w:sz w:val="32"/>
          <w:szCs w:val="32"/>
          <w:lang w:eastAsia="zh-CN"/>
        </w:rPr>
        <w:t>变压器下方设置的事故集油坑内若有废油产生，经集油坑进入事故池暂存，</w:t>
      </w:r>
      <w:r>
        <w:rPr>
          <w:rFonts w:hint="eastAsia" w:eastAsia="仿宋_GB2312" w:cs="Times New Roman"/>
          <w:sz w:val="32"/>
          <w:szCs w:val="32"/>
          <w:lang w:val="en-US" w:eastAsia="zh-CN"/>
        </w:rPr>
        <w:t>交有资质单位处置，</w:t>
      </w:r>
      <w:r>
        <w:rPr>
          <w:rFonts w:hint="eastAsia" w:eastAsia="仿宋_GB2312" w:cs="Times New Roman"/>
          <w:sz w:val="32"/>
          <w:szCs w:val="32"/>
          <w:lang w:eastAsia="zh-CN"/>
        </w:rPr>
        <w:t>池容量应满足收纳变压器的事故漏油量。</w:t>
      </w:r>
    </w:p>
    <w:p>
      <w:pPr>
        <w:keepNext w:val="0"/>
        <w:keepLines w:val="0"/>
        <w:pageBreakBefore w:val="0"/>
        <w:widowControl w:val="0"/>
        <w:kinsoku/>
        <w:wordWrap/>
        <w:overflowPunct/>
        <w:topLinePunct w:val="0"/>
        <w:autoSpaceDE/>
        <w:autoSpaceDN/>
        <w:bidi w:val="0"/>
        <w:spacing w:line="560" w:lineRule="exact"/>
        <w:ind w:firstLine="630"/>
        <w:outlineLvl w:val="9"/>
        <w:rPr>
          <w:rFonts w:hint="default" w:eastAsia="仿宋_GB2312" w:cs="Times New Roman"/>
          <w:sz w:val="32"/>
          <w:szCs w:val="32"/>
          <w:lang w:val="en-US" w:eastAsia="zh-CN"/>
        </w:rPr>
      </w:pPr>
      <w:r>
        <w:rPr>
          <w:rFonts w:hint="eastAsia" w:eastAsia="仿宋_GB2312" w:cs="Times New Roman"/>
          <w:sz w:val="32"/>
          <w:szCs w:val="32"/>
          <w:lang w:val="en-US" w:eastAsia="zh-CN"/>
        </w:rPr>
        <w:t>5.制订环境风险事故应急预案，并向区生态环境局备案；认真落实风险事故防范措施及应急处理措施，做好风险事故防范措施及应急处理措施的合理衔接工作，杜绝发生环境事故和次生环境事故。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三、该项目无新增污染物排放总量。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四、若项目的性质、规模地点、生产工艺或防治污染的措施发生重大变动，要重新报批环境影响评价文件。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outlineLvl w:val="9"/>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五</w:t>
      </w:r>
      <w:r>
        <w:rPr>
          <w:rFonts w:hint="default" w:ascii="Times New Roman" w:hAnsi="Times New Roman" w:eastAsia="仿宋_GB2312" w:cs="Times New Roman"/>
          <w:sz w:val="32"/>
          <w:szCs w:val="32"/>
        </w:rPr>
        <w:t>、项目应执行以下</w:t>
      </w:r>
      <w:r>
        <w:rPr>
          <w:rFonts w:hint="eastAsia" w:eastAsia="仿宋_GB2312" w:cs="Times New Roman"/>
          <w:sz w:val="32"/>
          <w:szCs w:val="32"/>
          <w:lang w:val="en-US" w:eastAsia="zh-CN"/>
        </w:rPr>
        <w:t>排放</w:t>
      </w:r>
      <w:r>
        <w:rPr>
          <w:rFonts w:hint="default" w:ascii="Times New Roman" w:hAnsi="Times New Roman" w:eastAsia="仿宋_GB2312" w:cs="Times New Roman"/>
          <w:sz w:val="32"/>
          <w:szCs w:val="32"/>
        </w:rPr>
        <w:t>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baseline"/>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《环境空气质量标准》（GB3095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2012）二级</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baseline"/>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《声环境质量标准》（GB3096-2008）</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类</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outlineLvl w:val="9"/>
        <w:rPr>
          <w:rFonts w:hint="eastAsia" w:ascii="Times New Roman" w:hAnsi="Times New Roman" w:eastAsia="仿宋_GB2312" w:cs="Times New Roman"/>
          <w:sz w:val="32"/>
          <w:szCs w:val="32"/>
        </w:rPr>
      </w:pPr>
      <w:r>
        <w:rPr>
          <w:rFonts w:hint="eastAsia" w:eastAsia="仿宋_GB2312" w:cs="Times New Roman"/>
          <w:sz w:val="32"/>
          <w:szCs w:val="32"/>
          <w:lang w:val="en-US" w:eastAsia="zh-CN"/>
        </w:rPr>
        <w:t>3.</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工业企业厂界环境噪声排放标准》</w:t>
      </w:r>
      <w:r>
        <w:rPr>
          <w:rFonts w:hint="eastAsia" w:ascii="Times New Roman" w:hAnsi="Times New Roman" w:eastAsia="仿宋_GB2312" w:cs="Times New Roman"/>
          <w:sz w:val="32"/>
          <w:szCs w:val="32"/>
        </w:rPr>
        <w:t>（GB12348-2008）</w:t>
      </w:r>
      <w:r>
        <w:rPr>
          <w:rFonts w:hint="eastAsia" w:eastAsia="仿宋_GB2312" w:cs="Times New Roman"/>
          <w:sz w:val="32"/>
          <w:szCs w:val="32"/>
          <w:lang w:val="en-US" w:eastAsia="zh-CN"/>
        </w:rPr>
        <w:t>1</w:t>
      </w:r>
      <w:r>
        <w:rPr>
          <w:rFonts w:hint="eastAsia" w:ascii="Times New Roman" w:hAnsi="Times New Roman" w:eastAsia="仿宋_GB2312" w:cs="Times New Roman"/>
          <w:sz w:val="32"/>
          <w:szCs w:val="32"/>
        </w:rPr>
        <w:t>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baseline"/>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《危险废物贮存污染控制标准》（GB18597-20</w:t>
      </w:r>
      <w:r>
        <w:rPr>
          <w:rFonts w:hint="eastAsia" w:ascii="Times New Roman" w:hAnsi="Times New Roman" w:eastAsia="仿宋_GB2312" w:cs="Times New Roman"/>
          <w:sz w:val="32"/>
          <w:szCs w:val="32"/>
          <w:lang w:val="en-US" w:eastAsia="zh-CN"/>
        </w:rPr>
        <w:t>23</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baseline"/>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5.《危险废物收集 贮存 运输技术规范</w:t>
      </w:r>
      <w:r>
        <w:rPr>
          <w:rFonts w:hint="default" w:ascii="Times New Roman" w:hAnsi="Times New Roman" w:eastAsia="仿宋_GB2312" w:cs="Times New Roman"/>
          <w:sz w:val="32"/>
          <w:szCs w:val="32"/>
          <w:lang w:val="en-US" w:eastAsia="zh-CN"/>
        </w:rPr>
        <w:t> </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HJ2025-2012</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baseline"/>
        <w:outlineLvl w:val="9"/>
        <w:rPr>
          <w:rFonts w:hint="eastAsia" w:ascii="Times New Roman" w:hAnsi="Times New Roman" w:eastAsia="仿宋_GB2312" w:cs="Times New Roman"/>
          <w:sz w:val="32"/>
          <w:szCs w:val="32"/>
          <w:lang w:eastAsia="zh-CN"/>
        </w:rPr>
      </w:pP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《电磁环境控制限值》（GB8702-2014）</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此复</w:t>
      </w:r>
      <w:r>
        <w:rPr>
          <w:rFonts w:hint="eastAsia" w:eastAsia="仿宋_GB2312" w:cs="Times New Roman"/>
          <w:sz w:val="32"/>
          <w:szCs w:val="32"/>
          <w:lang w:eastAsia="zh-CN"/>
        </w:rPr>
        <w:t>。</w:t>
      </w:r>
    </w:p>
    <w:p>
      <w:pPr>
        <w:rPr>
          <w:rFonts w:hint="default"/>
          <w:sz w:val="32"/>
          <w:szCs w:val="32"/>
        </w:rPr>
      </w:pPr>
    </w:p>
    <w:p>
      <w:pPr>
        <w:pStyle w:val="2"/>
        <w:rPr>
          <w:rFonts w:hint="default"/>
          <w:sz w:val="32"/>
          <w:szCs w:val="32"/>
        </w:rPr>
      </w:pPr>
    </w:p>
    <w:p>
      <w:pPr>
        <w:rPr>
          <w:rFonts w:hint="default"/>
          <w:sz w:val="32"/>
          <w:szCs w:val="32"/>
        </w:rPr>
      </w:pPr>
    </w:p>
    <w:p>
      <w:pPr>
        <w:wordWrap w:val="0"/>
        <w:ind w:firstLine="5120" w:firstLineChars="1600"/>
        <w:jc w:val="both"/>
        <w:rPr>
          <w:rFonts w:hint="eastAsia" w:eastAsia="仿宋_GB2312"/>
          <w:sz w:val="32"/>
          <w:lang w:val="en-US" w:eastAsia="zh-CN"/>
        </w:rPr>
      </w:pPr>
      <w:r>
        <w:rPr>
          <w:rFonts w:hint="eastAsia" w:eastAsia="仿宋_GB2312"/>
          <w:sz w:val="32"/>
          <w:lang w:val="en-US" w:eastAsia="zh-CN"/>
        </w:rPr>
        <w:t>2023年11月24日</w:t>
      </w:r>
    </w:p>
    <w:p>
      <w:pPr>
        <w:pStyle w:val="2"/>
        <w:rPr>
          <w:rFonts w:hint="eastAsia"/>
          <w:lang w:val="en-US" w:eastAsia="zh-CN"/>
        </w:rPr>
      </w:pPr>
    </w:p>
    <w:p>
      <w:pPr>
        <w:wordWrap w:val="0"/>
        <w:ind w:firstLine="5440" w:firstLineChars="1700"/>
        <w:jc w:val="both"/>
        <w:rPr>
          <w:rFonts w:hint="eastAsia"/>
          <w:lang w:val="en-US" w:eastAsia="zh-CN"/>
        </w:rPr>
      </w:pPr>
      <w:r>
        <w:rPr>
          <w:rFonts w:hint="eastAsia" w:eastAsia="仿宋_GB2312"/>
          <w:sz w:val="32"/>
          <w:lang w:val="en-US" w:eastAsia="zh-CN"/>
        </w:rPr>
        <w:t xml:space="preserve">  </w:t>
      </w:r>
    </w:p>
    <w:p>
      <w:pPr>
        <w:pStyle w:val="2"/>
        <w:wordWrap/>
        <w:rPr>
          <w:rFonts w:hint="eastAsia"/>
          <w:sz w:val="15"/>
          <w:szCs w:val="15"/>
          <w:lang w:val="en-US" w:eastAsia="zh-CN"/>
        </w:rPr>
      </w:pPr>
    </w:p>
    <w:p>
      <w:pPr>
        <w:spacing w:line="680" w:lineRule="exact"/>
        <w:rPr>
          <w:rFonts w:hint="eastAsia" w:eastAsia="仿宋_GB2312"/>
          <w:sz w:val="28"/>
          <w:szCs w:val="28"/>
        </w:rPr>
      </w:pPr>
      <w:r>
        <w:rPr>
          <w:rFonts w:eastAsia="仿宋_GB2312"/>
          <w:sz w:val="28"/>
          <w:szCs w:val="28"/>
        </w:rPr>
        <w:t>主题词：环境影响 报告</w:t>
      </w:r>
      <w:r>
        <w:rPr>
          <w:rFonts w:hint="eastAsia" w:eastAsia="仿宋_GB2312"/>
          <w:sz w:val="28"/>
          <w:szCs w:val="28"/>
          <w:lang w:eastAsia="zh-CN"/>
        </w:rPr>
        <w:t>表</w:t>
      </w:r>
      <w:r>
        <w:rPr>
          <w:rFonts w:eastAsia="仿宋_GB2312"/>
          <w:sz w:val="28"/>
          <w:szCs w:val="28"/>
        </w:rPr>
        <w:t xml:space="preserve"> 批复        </w:t>
      </w:r>
      <w:r>
        <w:rPr>
          <w:rFonts w:hint="eastAsia" w:eastAsia="仿宋_GB2312"/>
          <w:sz w:val="28"/>
          <w:szCs w:val="28"/>
        </w:rPr>
        <w:t xml:space="preserve">           </w:t>
      </w:r>
      <w:r>
        <w:rPr>
          <w:rFonts w:hint="eastAsia" w:eastAsia="仿宋_GB2312"/>
          <w:sz w:val="28"/>
          <w:szCs w:val="28"/>
          <w:lang w:val="en-US" w:eastAsia="zh-CN"/>
        </w:rPr>
        <w:t xml:space="preserve">  </w:t>
      </w:r>
      <w:r>
        <w:rPr>
          <w:rFonts w:hint="eastAsia" w:eastAsia="仿宋_GB2312"/>
          <w:sz w:val="28"/>
          <w:szCs w:val="28"/>
        </w:rPr>
        <w:t xml:space="preserve">  （</w:t>
      </w:r>
      <w:r>
        <w:rPr>
          <w:rFonts w:eastAsia="仿宋_GB2312"/>
          <w:sz w:val="28"/>
          <w:szCs w:val="28"/>
        </w:rPr>
        <w:t>共印</w:t>
      </w:r>
      <w:r>
        <w:rPr>
          <w:rFonts w:hint="eastAsia" w:eastAsia="仿宋_GB2312"/>
          <w:sz w:val="28"/>
          <w:szCs w:val="28"/>
          <w:lang w:val="en-US" w:eastAsia="zh-CN"/>
        </w:rPr>
        <w:t>3</w:t>
      </w:r>
      <w:r>
        <w:rPr>
          <w:rFonts w:eastAsia="仿宋_GB2312"/>
          <w:sz w:val="28"/>
          <w:szCs w:val="28"/>
        </w:rPr>
        <w:t>份）</w:t>
      </w:r>
    </w:p>
    <w:tbl>
      <w:tblPr>
        <w:tblStyle w:val="8"/>
        <w:tblW w:w="9054" w:type="dxa"/>
        <w:tblInd w:w="0" w:type="dxa"/>
        <w:tblBorders>
          <w:top w:val="none" w:color="auto" w:sz="0" w:space="0"/>
          <w:left w:val="none" w:color="auto" w:sz="0" w:space="0"/>
          <w:bottom w:val="none" w:color="auto" w:sz="0"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9054"/>
      </w:tblGrid>
      <w:tr>
        <w:tblPrEx>
          <w:tblBorders>
            <w:top w:val="none" w:color="auto" w:sz="0" w:space="0"/>
            <w:left w:val="none" w:color="auto" w:sz="0" w:space="0"/>
            <w:bottom w:val="none" w:color="auto" w:sz="0"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Ex>
        <w:trPr>
          <w:trHeight w:val="567" w:hRule="atLeast"/>
        </w:trPr>
        <w:tc>
          <w:tcPr>
            <w:tcW w:w="9054" w:type="dxa"/>
            <w:tcBorders>
              <w:top w:val="single" w:color="auto" w:sz="8" w:space="0"/>
              <w:bottom w:val="single" w:color="auto" w:sz="8" w:space="0"/>
            </w:tcBorders>
            <w:vAlign w:val="top"/>
          </w:tcPr>
          <w:p>
            <w:pPr>
              <w:spacing w:line="680" w:lineRule="exact"/>
              <w:ind w:right="160"/>
              <w:rPr>
                <w:sz w:val="32"/>
              </w:rPr>
            </w:pPr>
            <w:r>
              <w:rPr>
                <w:rFonts w:eastAsia="仿宋_GB2312"/>
                <w:sz w:val="28"/>
                <w:szCs w:val="28"/>
              </w:rPr>
              <w:t>抄</w:t>
            </w:r>
            <w:r>
              <w:rPr>
                <w:rFonts w:hint="eastAsia" w:eastAsia="仿宋_GB2312"/>
                <w:sz w:val="28"/>
                <w:szCs w:val="28"/>
                <w:lang w:val="en-US" w:eastAsia="zh-CN"/>
              </w:rPr>
              <w:t xml:space="preserve">  </w:t>
            </w:r>
            <w:r>
              <w:rPr>
                <w:rFonts w:eastAsia="仿宋_GB2312"/>
                <w:sz w:val="28"/>
                <w:szCs w:val="28"/>
              </w:rPr>
              <w:t>送：天津市滨海新区生态环境局</w:t>
            </w:r>
          </w:p>
        </w:tc>
      </w:tr>
    </w:tbl>
    <w:p>
      <w:r>
        <w:rPr>
          <w:rFonts w:hint="eastAsia" w:eastAsia="仿宋_GB2312"/>
          <w:sz w:val="28"/>
          <w:szCs w:val="28"/>
        </w:rPr>
        <w:t xml:space="preserve">天津市滨海新区行政审批局             </w:t>
      </w:r>
      <w:r>
        <w:rPr>
          <w:rFonts w:hint="eastAsia" w:eastAsia="仿宋_GB2312"/>
          <w:sz w:val="28"/>
          <w:szCs w:val="28"/>
          <w:lang w:val="en-US" w:eastAsia="zh-CN"/>
        </w:rPr>
        <w:t xml:space="preserve">      2023</w:t>
      </w:r>
      <w:r>
        <w:rPr>
          <w:rFonts w:eastAsia="仿宋_GB2312"/>
          <w:sz w:val="28"/>
          <w:szCs w:val="28"/>
        </w:rPr>
        <w:t>年</w:t>
      </w:r>
      <w:r>
        <w:rPr>
          <w:rFonts w:hint="eastAsia" w:eastAsia="仿宋_GB2312"/>
          <w:sz w:val="28"/>
          <w:szCs w:val="28"/>
          <w:lang w:val="en-US" w:eastAsia="zh-CN"/>
        </w:rPr>
        <w:t>11</w:t>
      </w:r>
      <w:r>
        <w:rPr>
          <w:rFonts w:eastAsia="仿宋_GB2312"/>
          <w:sz w:val="28"/>
          <w:szCs w:val="28"/>
        </w:rPr>
        <w:t>月</w:t>
      </w:r>
      <w:r>
        <w:rPr>
          <w:rFonts w:hint="eastAsia" w:eastAsia="仿宋_GB2312"/>
          <w:sz w:val="28"/>
          <w:szCs w:val="28"/>
          <w:lang w:val="en-US" w:eastAsia="zh-CN"/>
        </w:rPr>
        <w:t>24</w:t>
      </w:r>
      <w:r>
        <w:rPr>
          <w:rFonts w:eastAsia="仿宋_GB2312"/>
          <w:sz w:val="28"/>
          <w:szCs w:val="28"/>
        </w:rPr>
        <w:t>日印发</w:t>
      </w:r>
    </w:p>
    <w:sectPr>
      <w:footerReference r:id="rId3" w:type="default"/>
      <w:footerReference r:id="rId4" w:type="even"/>
      <w:pgSz w:w="11906" w:h="16838"/>
      <w:pgMar w:top="1440" w:right="1474"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37109B08-56C9-48B8-BD2C-8DBAE6277EF3}"/>
  </w:font>
  <w:font w:name="方正小标宋简体">
    <w:panose1 w:val="03000509000000000000"/>
    <w:charset w:val="86"/>
    <w:family w:val="script"/>
    <w:pitch w:val="default"/>
    <w:sig w:usb0="00000001" w:usb1="080E0000" w:usb2="00000000" w:usb3="00000000" w:csb0="00040000" w:csb1="00000000"/>
    <w:embedRegular r:id="rId2" w:fontKey="{36689098-430C-43C2-80CA-30E9C6A8787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745E92"/>
    <w:rsid w:val="000052E2"/>
    <w:rsid w:val="000D0BAA"/>
    <w:rsid w:val="000F7AB4"/>
    <w:rsid w:val="001070EC"/>
    <w:rsid w:val="00145F43"/>
    <w:rsid w:val="00152774"/>
    <w:rsid w:val="00180D2F"/>
    <w:rsid w:val="001964EB"/>
    <w:rsid w:val="001A023C"/>
    <w:rsid w:val="00234BD5"/>
    <w:rsid w:val="00254B41"/>
    <w:rsid w:val="002E284B"/>
    <w:rsid w:val="002F77FC"/>
    <w:rsid w:val="00345096"/>
    <w:rsid w:val="00371377"/>
    <w:rsid w:val="00380F59"/>
    <w:rsid w:val="00396D44"/>
    <w:rsid w:val="003E7586"/>
    <w:rsid w:val="003F4130"/>
    <w:rsid w:val="004167F4"/>
    <w:rsid w:val="00421888"/>
    <w:rsid w:val="00454338"/>
    <w:rsid w:val="00487BC1"/>
    <w:rsid w:val="00531BD1"/>
    <w:rsid w:val="00566C93"/>
    <w:rsid w:val="00631BCE"/>
    <w:rsid w:val="006A0BFE"/>
    <w:rsid w:val="0071652F"/>
    <w:rsid w:val="00745E92"/>
    <w:rsid w:val="007939DD"/>
    <w:rsid w:val="008208B6"/>
    <w:rsid w:val="00863565"/>
    <w:rsid w:val="008B1BF1"/>
    <w:rsid w:val="008F05BC"/>
    <w:rsid w:val="00950011"/>
    <w:rsid w:val="009807C5"/>
    <w:rsid w:val="009824E1"/>
    <w:rsid w:val="0099150D"/>
    <w:rsid w:val="00996955"/>
    <w:rsid w:val="009A1665"/>
    <w:rsid w:val="009D54C7"/>
    <w:rsid w:val="009D7E7F"/>
    <w:rsid w:val="00A31EB3"/>
    <w:rsid w:val="00A6299F"/>
    <w:rsid w:val="00A85A8F"/>
    <w:rsid w:val="00AD7A1F"/>
    <w:rsid w:val="00B022F0"/>
    <w:rsid w:val="00B375DB"/>
    <w:rsid w:val="00B941D8"/>
    <w:rsid w:val="00BB4909"/>
    <w:rsid w:val="00BF6B0B"/>
    <w:rsid w:val="00C8126D"/>
    <w:rsid w:val="00C8289E"/>
    <w:rsid w:val="00CE5024"/>
    <w:rsid w:val="00D006C4"/>
    <w:rsid w:val="00D12F65"/>
    <w:rsid w:val="00D52B80"/>
    <w:rsid w:val="00DA5608"/>
    <w:rsid w:val="00DD7D5A"/>
    <w:rsid w:val="00DE0B7D"/>
    <w:rsid w:val="00E334F0"/>
    <w:rsid w:val="00E530D0"/>
    <w:rsid w:val="00E630C8"/>
    <w:rsid w:val="00E81FC7"/>
    <w:rsid w:val="00E913AD"/>
    <w:rsid w:val="00EA5C54"/>
    <w:rsid w:val="00EF0A9C"/>
    <w:rsid w:val="00EF29FD"/>
    <w:rsid w:val="00F10477"/>
    <w:rsid w:val="00F33160"/>
    <w:rsid w:val="00F436B2"/>
    <w:rsid w:val="00F54B05"/>
    <w:rsid w:val="00F56775"/>
    <w:rsid w:val="00F71A97"/>
    <w:rsid w:val="00F842B6"/>
    <w:rsid w:val="00FC26E4"/>
    <w:rsid w:val="03ED782B"/>
    <w:rsid w:val="040C26AD"/>
    <w:rsid w:val="040E2881"/>
    <w:rsid w:val="07CF6683"/>
    <w:rsid w:val="08FF1171"/>
    <w:rsid w:val="08FF1D4E"/>
    <w:rsid w:val="09C20CD4"/>
    <w:rsid w:val="0A7C212E"/>
    <w:rsid w:val="0B6D14B7"/>
    <w:rsid w:val="0B70766A"/>
    <w:rsid w:val="0C0B24EB"/>
    <w:rsid w:val="0CE942B7"/>
    <w:rsid w:val="0D4545B5"/>
    <w:rsid w:val="0D5F3A7D"/>
    <w:rsid w:val="0DA11C36"/>
    <w:rsid w:val="0E485DB4"/>
    <w:rsid w:val="0EBD1B34"/>
    <w:rsid w:val="116D37CE"/>
    <w:rsid w:val="13AF213C"/>
    <w:rsid w:val="161C585F"/>
    <w:rsid w:val="16F81CE1"/>
    <w:rsid w:val="171A2A55"/>
    <w:rsid w:val="18326D5D"/>
    <w:rsid w:val="195535DF"/>
    <w:rsid w:val="19CB339C"/>
    <w:rsid w:val="1E3B441F"/>
    <w:rsid w:val="1E9437AE"/>
    <w:rsid w:val="20490236"/>
    <w:rsid w:val="20836690"/>
    <w:rsid w:val="2156336B"/>
    <w:rsid w:val="22610E50"/>
    <w:rsid w:val="22A21F73"/>
    <w:rsid w:val="233667EF"/>
    <w:rsid w:val="265E70F3"/>
    <w:rsid w:val="26FA244B"/>
    <w:rsid w:val="272A30F3"/>
    <w:rsid w:val="27E736B9"/>
    <w:rsid w:val="280265C2"/>
    <w:rsid w:val="28CC03F4"/>
    <w:rsid w:val="2D5A2BCE"/>
    <w:rsid w:val="2E0641BD"/>
    <w:rsid w:val="2F44136D"/>
    <w:rsid w:val="30262E18"/>
    <w:rsid w:val="30AB02AE"/>
    <w:rsid w:val="316A2E22"/>
    <w:rsid w:val="32622092"/>
    <w:rsid w:val="33633703"/>
    <w:rsid w:val="35533D0B"/>
    <w:rsid w:val="357B6D52"/>
    <w:rsid w:val="357D7D64"/>
    <w:rsid w:val="36BF48B4"/>
    <w:rsid w:val="36C51F7A"/>
    <w:rsid w:val="375F19FD"/>
    <w:rsid w:val="37EB048C"/>
    <w:rsid w:val="385C19AE"/>
    <w:rsid w:val="38F64BB5"/>
    <w:rsid w:val="3982447C"/>
    <w:rsid w:val="399D5FE8"/>
    <w:rsid w:val="3A0C58CA"/>
    <w:rsid w:val="3B0D5BF6"/>
    <w:rsid w:val="3D2E17ED"/>
    <w:rsid w:val="3DB37034"/>
    <w:rsid w:val="3E015AA4"/>
    <w:rsid w:val="3EFF249B"/>
    <w:rsid w:val="3F5D704E"/>
    <w:rsid w:val="3F9A2934"/>
    <w:rsid w:val="3FD14EC6"/>
    <w:rsid w:val="41116DDD"/>
    <w:rsid w:val="42382433"/>
    <w:rsid w:val="445A69E2"/>
    <w:rsid w:val="44A333BF"/>
    <w:rsid w:val="44FB2731"/>
    <w:rsid w:val="45D27CD9"/>
    <w:rsid w:val="462B7F7D"/>
    <w:rsid w:val="46534CE5"/>
    <w:rsid w:val="46BF2397"/>
    <w:rsid w:val="47693F8F"/>
    <w:rsid w:val="4AE43C50"/>
    <w:rsid w:val="4B106CD2"/>
    <w:rsid w:val="4D005CA5"/>
    <w:rsid w:val="4E057C31"/>
    <w:rsid w:val="4EC837AE"/>
    <w:rsid w:val="4EF9701F"/>
    <w:rsid w:val="53ED7747"/>
    <w:rsid w:val="55C20EA5"/>
    <w:rsid w:val="56FF52DF"/>
    <w:rsid w:val="57AF34A5"/>
    <w:rsid w:val="59465D4C"/>
    <w:rsid w:val="59EC4DD6"/>
    <w:rsid w:val="5ABC54F2"/>
    <w:rsid w:val="5D0F3DCC"/>
    <w:rsid w:val="5E604728"/>
    <w:rsid w:val="5E6C7A95"/>
    <w:rsid w:val="5F0E3CB8"/>
    <w:rsid w:val="5F242368"/>
    <w:rsid w:val="5F943EF4"/>
    <w:rsid w:val="60317CD8"/>
    <w:rsid w:val="61C254B7"/>
    <w:rsid w:val="61FA1823"/>
    <w:rsid w:val="628A6975"/>
    <w:rsid w:val="62922D24"/>
    <w:rsid w:val="65EF76D2"/>
    <w:rsid w:val="69581678"/>
    <w:rsid w:val="6A1D01E4"/>
    <w:rsid w:val="6B720AE3"/>
    <w:rsid w:val="6E0A324A"/>
    <w:rsid w:val="6F765C07"/>
    <w:rsid w:val="70486FEE"/>
    <w:rsid w:val="718F062F"/>
    <w:rsid w:val="71E03B95"/>
    <w:rsid w:val="744A736E"/>
    <w:rsid w:val="746B5F3A"/>
    <w:rsid w:val="753219FC"/>
    <w:rsid w:val="754A4C07"/>
    <w:rsid w:val="773C481C"/>
    <w:rsid w:val="79D7682F"/>
    <w:rsid w:val="7ADF12A0"/>
    <w:rsid w:val="7CC077EE"/>
    <w:rsid w:val="7D247CD4"/>
    <w:rsid w:val="7D586D0D"/>
    <w:rsid w:val="7DA76073"/>
    <w:rsid w:val="7E6678D4"/>
    <w:rsid w:val="7FC64D38"/>
    <w:rsid w:val="BBE3FCA7"/>
    <w:rsid w:val="CB606E51"/>
    <w:rsid w:val="DB839824"/>
    <w:rsid w:val="EDFF55FE"/>
    <w:rsid w:val="FF7719C7"/>
    <w:rsid w:val="FFEF774F"/>
    <w:rsid w:val="FFFD374C"/>
    <w:rsid w:val="FFFF6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outlineLvl w:val="0"/>
    </w:pPr>
    <w:rPr>
      <w:rFonts w:eastAsia="黑体"/>
      <w:kern w:val="44"/>
      <w:sz w:val="32"/>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Emphasis"/>
    <w:basedOn w:val="5"/>
    <w:qFormat/>
    <w:uiPriority w:val="0"/>
    <w:rPr>
      <w:i/>
    </w:rPr>
  </w:style>
  <w:style w:type="character" w:customStyle="1" w:styleId="9">
    <w:name w:val="页脚 Char"/>
    <w:basedOn w:val="5"/>
    <w:link w:val="3"/>
    <w:qFormat/>
    <w:uiPriority w:val="0"/>
    <w:rPr>
      <w:kern w:val="2"/>
      <w:sz w:val="18"/>
      <w:szCs w:val="18"/>
    </w:rPr>
  </w:style>
  <w:style w:type="character" w:customStyle="1" w:styleId="10">
    <w:name w:val="页眉 Char"/>
    <w:basedOn w:val="5"/>
    <w:link w:val="4"/>
    <w:qFormat/>
    <w:uiPriority w:val="0"/>
    <w:rPr>
      <w:kern w:val="2"/>
      <w:sz w:val="18"/>
      <w:szCs w:val="18"/>
    </w:rPr>
  </w:style>
  <w:style w:type="paragraph" w:customStyle="1" w:styleId="11">
    <w:name w:val="中文报告书样式"/>
    <w:basedOn w:val="1"/>
    <w:qFormat/>
    <w:uiPriority w:val="0"/>
    <w:pPr>
      <w:adjustRightInd w:val="0"/>
      <w:spacing w:line="420" w:lineRule="atLeast"/>
      <w:jc w:val="left"/>
      <w:textAlignment w:val="baseline"/>
    </w:pPr>
    <w:rPr>
      <w:kern w:val="24"/>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1009</Words>
  <Characters>1128</Characters>
  <Lines>1</Lines>
  <Paragraphs>1</Paragraphs>
  <TotalTime>2</TotalTime>
  <ScaleCrop>false</ScaleCrop>
  <LinksUpToDate>false</LinksUpToDate>
  <CharactersWithSpaces>1195</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2014-05-23T17:22:00Z</dcterms:created>
  <dc:creator>张明蕾</dc:creator>
  <cp:lastModifiedBy>Administrator</cp:lastModifiedBy>
  <cp:lastPrinted>2023-11-08T01:56:00Z</cp:lastPrinted>
  <dcterms:modified xsi:type="dcterms:W3CDTF">2023-11-24T07:19:47Z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4D459924FAB5479493E4A1CB64F1B2C7_13</vt:lpwstr>
  </property>
</Properties>
</file>