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223</w:t>
      </w:r>
      <w:r>
        <w:rPr>
          <w:rFonts w:hint="default" w:ascii="Times New Roman" w:hAnsi="Times New Roman" w:eastAsia="仿宋_GB2312" w:cs="Times New Roman"/>
          <w:sz w:val="32"/>
          <w:szCs w:val="32"/>
        </w:rPr>
        <w:t>号</w:t>
      </w:r>
    </w:p>
    <w:p>
      <w:pPr>
        <w:rPr>
          <w:rFonts w:hint="default" w:ascii="Times New Roman" w:hAnsi="Times New Roman" w:eastAsia="仿宋_GB2312" w:cs="Times New Roman"/>
          <w:sz w:val="32"/>
          <w:szCs w:val="32"/>
        </w:rPr>
      </w:pPr>
      <w:bookmarkStart w:id="0" w:name="_GoBack"/>
      <w:bookmarkEnd w:id="0"/>
    </w:p>
    <w:p>
      <w:pPr>
        <w:pStyle w:val="14"/>
        <w:spacing w:line="580" w:lineRule="exact"/>
        <w:jc w:val="center"/>
        <w:rPr>
          <w:rFonts w:hint="default" w:ascii="Times New Roman" w:hAnsi="Times New Roman" w:eastAsia="方正小标宋简体" w:cs="Times New Roman"/>
          <w:color w:val="000000"/>
          <w:sz w:val="15"/>
          <w:szCs w:val="15"/>
        </w:rPr>
      </w:pPr>
    </w:p>
    <w:p>
      <w:pPr>
        <w:pStyle w:val="14"/>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关于中国石油化工股份有限公司天津分公司</w:t>
      </w:r>
    </w:p>
    <w:p>
      <w:pPr>
        <w:pStyle w:val="14"/>
        <w:spacing w:line="580" w:lineRule="exact"/>
        <w:jc w:val="center"/>
        <w:rPr>
          <w:rFonts w:hint="default" w:ascii="Times New Roman" w:hAnsi="Times New Roman" w:eastAsia="方正小标宋简体" w:cs="Times New Roman"/>
          <w:color w:val="000000"/>
          <w:sz w:val="44"/>
          <w:lang w:eastAsia="zh-CN"/>
        </w:rPr>
      </w:pPr>
      <w:r>
        <w:rPr>
          <w:rFonts w:hint="eastAsia" w:eastAsia="方正小标宋简体" w:cs="Times New Roman"/>
          <w:color w:val="000000"/>
          <w:sz w:val="44"/>
          <w:lang w:eastAsia="zh-CN"/>
        </w:rPr>
        <w:t>炼油部新增催化油浆脱固设施及流程完善项目</w:t>
      </w:r>
    </w:p>
    <w:p>
      <w:pPr>
        <w:pStyle w:val="14"/>
        <w:spacing w:line="580" w:lineRule="exact"/>
        <w:jc w:val="center"/>
        <w:rPr>
          <w:rFonts w:hint="default" w:ascii="Times New Roman" w:hAnsi="Times New Roman" w:eastAsia="方正小标宋简体" w:cs="Times New Roman"/>
          <w:color w:val="000000"/>
          <w:sz w:val="44"/>
          <w:lang w:eastAsia="zh-CN"/>
        </w:rPr>
      </w:pPr>
      <w:r>
        <w:rPr>
          <w:rFonts w:hint="default" w:ascii="Times New Roman" w:hAnsi="Times New Roman" w:eastAsia="方正小标宋简体" w:cs="Times New Roman"/>
          <w:color w:val="000000"/>
          <w:sz w:val="44"/>
          <w:lang w:eastAsia="zh-CN"/>
        </w:rPr>
        <w:t>环境影响</w:t>
      </w:r>
      <w:r>
        <w:rPr>
          <w:rFonts w:hint="eastAsia" w:eastAsia="方正小标宋简体" w:cs="Times New Roman"/>
          <w:color w:val="000000"/>
          <w:sz w:val="44"/>
          <w:lang w:eastAsia="zh-CN"/>
        </w:rPr>
        <w:t>报告表</w:t>
      </w:r>
      <w:r>
        <w:rPr>
          <w:rFonts w:hint="default" w:ascii="Times New Roman" w:hAnsi="Times New Roman" w:eastAsia="方正小标宋简体" w:cs="Times New Roman"/>
          <w:color w:val="000000"/>
          <w:sz w:val="44"/>
          <w:lang w:eastAsia="zh-CN"/>
        </w:rPr>
        <w:t>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中国石油化工股份有限公司天津分公司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呈报的</w:t>
      </w:r>
      <w:r>
        <w:rPr>
          <w:rFonts w:hint="default" w:ascii="Times New Roman" w:hAnsi="Times New Roman" w:eastAsia="仿宋_GB2312" w:cs="Times New Roman"/>
          <w:sz w:val="32"/>
          <w:szCs w:val="32"/>
          <w:lang w:eastAsia="zh-CN"/>
        </w:rPr>
        <w:t>《关于天津分公司</w:t>
      </w:r>
      <w:r>
        <w:rPr>
          <w:rFonts w:hint="eastAsia" w:eastAsia="仿宋_GB2312" w:cs="Times New Roman"/>
          <w:sz w:val="32"/>
          <w:szCs w:val="32"/>
          <w:lang w:eastAsia="zh-CN"/>
        </w:rPr>
        <w:t>炼油部新增催化油浆脱固设施及流程完善项目</w:t>
      </w:r>
      <w:r>
        <w:rPr>
          <w:rFonts w:hint="default" w:ascii="Times New Roman" w:hAnsi="Times New Roman" w:eastAsia="仿宋_GB2312" w:cs="Times New Roman"/>
          <w:sz w:val="32"/>
          <w:szCs w:val="32"/>
          <w:lang w:eastAsia="zh-CN"/>
        </w:rPr>
        <w:t>环境影响报告</w:t>
      </w:r>
      <w:r>
        <w:rPr>
          <w:rFonts w:hint="eastAsia" w:eastAsia="仿宋_GB2312" w:cs="Times New Roman"/>
          <w:sz w:val="32"/>
          <w:szCs w:val="32"/>
          <w:lang w:eastAsia="zh-CN"/>
        </w:rPr>
        <w:t>表</w:t>
      </w:r>
      <w:r>
        <w:rPr>
          <w:rFonts w:hint="default" w:ascii="Times New Roman" w:hAnsi="Times New Roman" w:eastAsia="仿宋_GB2312" w:cs="Times New Roman"/>
          <w:sz w:val="32"/>
          <w:szCs w:val="32"/>
          <w:lang w:eastAsia="zh-CN"/>
        </w:rPr>
        <w:t>的</w:t>
      </w:r>
      <w:r>
        <w:rPr>
          <w:rFonts w:hint="eastAsia"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》和</w:t>
      </w:r>
      <w:r>
        <w:rPr>
          <w:rFonts w:hint="eastAsia" w:eastAsia="仿宋_GB2312" w:cs="Times New Roman"/>
          <w:sz w:val="32"/>
          <w:szCs w:val="32"/>
          <w:lang w:val="en-US" w:eastAsia="zh-CN"/>
        </w:rPr>
        <w:t>联合泰泽环境科技发展有限公司编制的</w:t>
      </w:r>
      <w:r>
        <w:rPr>
          <w:rFonts w:hint="default" w:ascii="Times New Roman" w:hAnsi="Times New Roman" w:eastAsia="仿宋_GB2312" w:cs="Times New Roman"/>
          <w:sz w:val="32"/>
          <w:szCs w:val="32"/>
          <w:lang w:eastAsia="zh-CN"/>
        </w:rPr>
        <w:t>《天津分公司</w:t>
      </w:r>
      <w:r>
        <w:rPr>
          <w:rFonts w:hint="eastAsia" w:eastAsia="仿宋_GB2312" w:cs="Times New Roman"/>
          <w:sz w:val="32"/>
          <w:szCs w:val="32"/>
          <w:lang w:eastAsia="zh-CN"/>
        </w:rPr>
        <w:t>炼油部新增催化油浆脱固设施及流程完善项目</w:t>
      </w:r>
      <w:r>
        <w:rPr>
          <w:rFonts w:hint="default" w:ascii="Times New Roman" w:hAnsi="Times New Roman" w:eastAsia="仿宋_GB2312" w:cs="Times New Roman"/>
          <w:sz w:val="32"/>
          <w:szCs w:val="32"/>
          <w:lang w:eastAsia="zh-CN"/>
        </w:rPr>
        <w:t>环境影响报告</w:t>
      </w:r>
      <w:r>
        <w:rPr>
          <w:rFonts w:hint="eastAsia" w:eastAsia="仿宋_GB2312" w:cs="Times New Roman"/>
          <w:sz w:val="32"/>
          <w:szCs w:val="32"/>
          <w:lang w:eastAsia="zh-CN"/>
        </w:rPr>
        <w:t>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等文件</w:t>
      </w:r>
      <w:r>
        <w:rPr>
          <w:rFonts w:hint="default" w:ascii="Times New Roman" w:hAnsi="Times New Roman" w:eastAsia="仿宋_GB2312" w:cs="Times New Roman"/>
          <w:sz w:val="32"/>
          <w:szCs w:val="32"/>
          <w:lang w:eastAsia="zh-CN"/>
        </w:rPr>
        <w:t>收悉。经我局研究，批复如下：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你公司</w:t>
      </w:r>
      <w:r>
        <w:rPr>
          <w:rFonts w:hint="default" w:ascii="Times New Roman" w:hAnsi="Times New Roman" w:eastAsia="仿宋_GB2312" w:cs="Times New Roman"/>
          <w:bCs/>
          <w:sz w:val="32"/>
          <w:szCs w:val="32"/>
          <w:lang w:val="en-US" w:eastAsia="zh-CN"/>
        </w:rPr>
        <w:t>位于</w:t>
      </w:r>
      <w:r>
        <w:rPr>
          <w:rFonts w:hint="default" w:ascii="Times New Roman" w:hAnsi="Times New Roman" w:eastAsia="仿宋_GB2312" w:cs="Times New Roman"/>
          <w:bCs/>
          <w:sz w:val="32"/>
          <w:szCs w:val="32"/>
          <w:lang w:eastAsia="zh-CN"/>
        </w:rPr>
        <w:t>滨海新区</w:t>
      </w:r>
      <w:r>
        <w:rPr>
          <w:rFonts w:hint="default" w:ascii="Times New Roman" w:hAnsi="Times New Roman" w:eastAsia="仿宋_GB2312" w:cs="Times New Roman"/>
          <w:bCs/>
          <w:sz w:val="32"/>
          <w:szCs w:val="32"/>
          <w:lang w:val="en-US" w:eastAsia="zh-CN"/>
        </w:rPr>
        <w:t>大港</w:t>
      </w:r>
      <w:r>
        <w:rPr>
          <w:rFonts w:hint="eastAsia" w:eastAsia="仿宋_GB2312" w:cs="Times New Roman"/>
          <w:bCs/>
          <w:sz w:val="32"/>
          <w:szCs w:val="32"/>
          <w:lang w:val="en-US" w:eastAsia="zh-CN"/>
        </w:rPr>
        <w:t>街</w:t>
      </w:r>
      <w:r>
        <w:rPr>
          <w:rFonts w:hint="default" w:ascii="Times New Roman" w:hAnsi="Times New Roman" w:eastAsia="仿宋_GB2312" w:cs="Times New Roman"/>
          <w:bCs/>
          <w:sz w:val="32"/>
          <w:szCs w:val="32"/>
          <w:lang w:val="en-US" w:eastAsia="zh-CN"/>
        </w:rPr>
        <w:t>北围堤路160号。</w:t>
      </w:r>
      <w:r>
        <w:rPr>
          <w:rFonts w:hint="default" w:ascii="Times New Roman" w:hAnsi="Times New Roman" w:eastAsia="仿宋_GB2312" w:cs="Times New Roman"/>
          <w:bCs/>
          <w:sz w:val="32"/>
          <w:szCs w:val="32"/>
        </w:rPr>
        <w:t>为</w:t>
      </w:r>
      <w:r>
        <w:rPr>
          <w:rFonts w:hint="eastAsia" w:eastAsia="仿宋_GB2312" w:cs="Times New Roman"/>
          <w:bCs/>
          <w:sz w:val="32"/>
          <w:szCs w:val="32"/>
          <w:lang w:eastAsia="zh-CN"/>
        </w:rPr>
        <w:t>了充分合理利用催化油浆、提高炼油产品经济效益</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你公司拟</w:t>
      </w:r>
      <w:r>
        <w:rPr>
          <w:rFonts w:hint="eastAsia" w:eastAsia="仿宋_GB2312" w:cs="Times New Roman"/>
          <w:bCs/>
          <w:sz w:val="32"/>
          <w:szCs w:val="32"/>
          <w:lang w:val="en-US" w:eastAsia="zh-CN"/>
        </w:rPr>
        <w:t>在炼油部2#焦化装置内建设一套20万吨/年催化油浆脱固设施，同时配套新建一座2.5立方米立式净化油浆缓冲罐、一套膜过滤器、一台清洗撬块、厂内油品输送管线等。</w:t>
      </w:r>
      <w:r>
        <w:rPr>
          <w:rFonts w:hint="eastAsia" w:eastAsia="仿宋_GB2312" w:cs="Times New Roman"/>
          <w:bCs/>
          <w:sz w:val="32"/>
          <w:szCs w:val="32"/>
          <w:lang w:eastAsia="zh-CN"/>
        </w:rPr>
        <w:t>项目建成后，现有的脱灰剂油浆脱固工序所涉及的部分管道、油浆罐</w:t>
      </w:r>
      <w:r>
        <w:rPr>
          <w:rFonts w:hint="eastAsia" w:eastAsia="仿宋_GB2312" w:cs="Times New Roman"/>
          <w:bCs/>
          <w:sz w:val="32"/>
          <w:szCs w:val="32"/>
          <w:lang w:val="en-US" w:eastAsia="zh-CN"/>
        </w:rPr>
        <w:t>60</w:t>
      </w:r>
      <w:r>
        <w:rPr>
          <w:rFonts w:hint="default" w:eastAsia="仿宋_GB2312" w:cs="Times New Roman"/>
          <w:bCs/>
          <w:sz w:val="32"/>
          <w:szCs w:val="32"/>
          <w:lang w:val="en" w:eastAsia="zh-CN"/>
        </w:rPr>
        <w:t>2</w:t>
      </w:r>
      <w:r>
        <w:rPr>
          <w:rFonts w:hint="eastAsia" w:eastAsia="仿宋_GB2312" w:cs="Times New Roman"/>
          <w:bCs/>
          <w:sz w:val="32"/>
          <w:szCs w:val="32"/>
          <w:lang w:val="en" w:eastAsia="zh-CN"/>
        </w:rPr>
        <w:t>储罐、脱灰剂储罐等</w:t>
      </w:r>
      <w:r>
        <w:rPr>
          <w:rFonts w:hint="eastAsia" w:eastAsia="仿宋_GB2312" w:cs="Times New Roman"/>
          <w:bCs/>
          <w:sz w:val="32"/>
          <w:szCs w:val="32"/>
          <w:lang w:eastAsia="zh-CN"/>
        </w:rPr>
        <w:t>配套设备将被停用，全厂的原油加工能力和产品构成均保持</w:t>
      </w:r>
      <w:r>
        <w:rPr>
          <w:rFonts w:hint="default" w:ascii="Times New Roman" w:hAnsi="Times New Roman" w:eastAsia="仿宋_GB2312" w:cs="Times New Roman"/>
          <w:bCs/>
          <w:sz w:val="32"/>
          <w:szCs w:val="32"/>
        </w:rPr>
        <w:t>不变</w:t>
      </w:r>
      <w:r>
        <w:rPr>
          <w:rFonts w:hint="eastAsia" w:eastAsia="仿宋_GB2312" w:cs="Times New Roman"/>
          <w:bCs/>
          <w:sz w:val="32"/>
          <w:szCs w:val="32"/>
          <w:lang w:eastAsia="zh-CN"/>
        </w:rPr>
        <w:t>。项目</w:t>
      </w:r>
      <w:r>
        <w:rPr>
          <w:rFonts w:hint="default" w:ascii="Times New Roman" w:hAnsi="Times New Roman" w:eastAsia="仿宋_GB2312" w:cs="Times New Roman"/>
          <w:sz w:val="32"/>
          <w:szCs w:val="32"/>
          <w:lang w:val="en-US" w:eastAsia="zh-CN"/>
        </w:rPr>
        <w:t>总投资为</w:t>
      </w:r>
      <w:r>
        <w:rPr>
          <w:rFonts w:hint="default" w:ascii="Times New Roman" w:hAnsi="Times New Roman" w:eastAsia="仿宋_GB2312" w:cs="Times New Roman"/>
          <w:bCs/>
          <w:sz w:val="32"/>
          <w:szCs w:val="32"/>
        </w:rPr>
        <w:t>2</w:t>
      </w:r>
      <w:r>
        <w:rPr>
          <w:rFonts w:hint="eastAsia" w:eastAsia="仿宋_GB2312" w:cs="Times New Roman"/>
          <w:bCs/>
          <w:sz w:val="32"/>
          <w:szCs w:val="32"/>
          <w:lang w:val="en-US" w:eastAsia="zh-CN"/>
        </w:rPr>
        <w:t>685.44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万元，占总投资的</w:t>
      </w:r>
      <w:r>
        <w:rPr>
          <w:rFonts w:hint="eastAsia" w:eastAsia="仿宋_GB2312" w:cs="Times New Roman"/>
          <w:bCs/>
          <w:sz w:val="32"/>
          <w:szCs w:val="32"/>
          <w:lang w:val="en-US" w:eastAsia="zh-CN"/>
        </w:rPr>
        <w:t>1.2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日至</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日，我</w:t>
      </w:r>
      <w:r>
        <w:rPr>
          <w:rFonts w:hint="default" w:ascii="Times New Roman" w:hAnsi="Times New Roman" w:eastAsia="仿宋_GB2312" w:cs="Times New Roman"/>
          <w:sz w:val="32"/>
          <w:szCs w:val="32"/>
        </w:rPr>
        <w:t>局将</w:t>
      </w:r>
      <w:r>
        <w:rPr>
          <w:rFonts w:hint="default" w:ascii="Times New Roman" w:hAnsi="Times New Roman" w:eastAsia="仿宋_GB2312" w:cs="Times New Roman"/>
          <w:sz w:val="32"/>
          <w:szCs w:val="32"/>
          <w:lang w:eastAsia="zh-CN"/>
        </w:rPr>
        <w:t>该项目环评报告的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了公</w:t>
      </w:r>
      <w:r>
        <w:rPr>
          <w:rFonts w:hint="default" w:ascii="Times New Roman" w:hAnsi="Times New Roman" w:eastAsia="仿宋_GB2312" w:cs="Times New Roman"/>
          <w:sz w:val="32"/>
          <w:szCs w:val="32"/>
          <w:lang w:val="en-US" w:eastAsia="zh-CN"/>
        </w:rPr>
        <w:t>示；</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日，将</w:t>
      </w:r>
      <w:r>
        <w:rPr>
          <w:rFonts w:hint="default" w:ascii="Times New Roman" w:hAnsi="Times New Roman" w:eastAsia="仿宋_GB2312" w:cs="Times New Roman"/>
          <w:sz w:val="32"/>
          <w:szCs w:val="32"/>
          <w:lang w:eastAsia="zh-CN"/>
        </w:rPr>
        <w:t>该项目环评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在项目</w:t>
      </w:r>
      <w:r>
        <w:rPr>
          <w:rFonts w:hint="default" w:ascii="Times New Roman" w:hAnsi="Times New Roman" w:eastAsia="仿宋_GB2312" w:cs="Times New Roman"/>
          <w:sz w:val="32"/>
          <w:szCs w:val="32"/>
        </w:rPr>
        <w:t>建设和</w:t>
      </w:r>
      <w:r>
        <w:rPr>
          <w:rFonts w:hint="default" w:ascii="Times New Roman" w:hAnsi="Times New Roman" w:eastAsia="仿宋_GB2312" w:cs="Times New Roman"/>
          <w:sz w:val="32"/>
          <w:szCs w:val="32"/>
          <w:lang w:eastAsia="zh-CN"/>
        </w:rPr>
        <w:t>运行</w:t>
      </w:r>
      <w:r>
        <w:rPr>
          <w:rFonts w:hint="default" w:ascii="Times New Roman" w:hAnsi="Times New Roman" w:eastAsia="仿宋_GB2312" w:cs="Times New Roman"/>
          <w:sz w:val="32"/>
          <w:szCs w:val="32"/>
        </w:rPr>
        <w:t>期间，</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1.施工期间应严格执行国家相关环保法律法规和落实环评报告中提出的污染防范措施：做到合法施工，文明生产，减少扬尘污染；妥善处理</w:t>
      </w:r>
      <w:r>
        <w:rPr>
          <w:rFonts w:hint="default" w:ascii="Times New Roman" w:hAnsi="Times New Roman" w:eastAsia="仿宋_GB2312" w:cs="Times New Roman"/>
          <w:sz w:val="32"/>
          <w:szCs w:val="32"/>
          <w:lang w:val="en-US" w:eastAsia="zh-CN"/>
        </w:rPr>
        <w:t>施工废水</w:t>
      </w:r>
      <w:r>
        <w:rPr>
          <w:rFonts w:hint="default" w:ascii="Times New Roman" w:hAnsi="Times New Roman" w:eastAsia="仿宋_GB2312" w:cs="Times New Roman"/>
          <w:sz w:val="32"/>
          <w:szCs w:val="32"/>
          <w:lang w:eastAsia="zh-CN"/>
        </w:rPr>
        <w:t>和固体废弃物；合理安排施工时间，加强对高噪声机械的管理。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2.采取有效措施，</w:t>
      </w:r>
      <w:r>
        <w:rPr>
          <w:rFonts w:hint="default" w:ascii="Times New Roman" w:hAnsi="Times New Roman" w:eastAsia="仿宋_GB2312" w:cs="Times New Roman"/>
          <w:sz w:val="32"/>
          <w:szCs w:val="32"/>
          <w:lang w:eastAsia="zh-CN"/>
        </w:rPr>
        <w:t>减少废气的无组织排放，确保</w:t>
      </w:r>
      <w:r>
        <w:rPr>
          <w:rFonts w:hint="default" w:ascii="Times New Roman" w:hAnsi="Times New Roman" w:eastAsia="仿宋_GB2312" w:cs="Times New Roman"/>
          <w:sz w:val="32"/>
          <w:szCs w:val="32"/>
          <w:lang w:val="en-US" w:eastAsia="zh-CN"/>
        </w:rPr>
        <w:t>非甲烷总烃</w:t>
      </w:r>
      <w:r>
        <w:rPr>
          <w:rFonts w:hint="default" w:ascii="Times New Roman" w:hAnsi="Times New Roman" w:eastAsia="仿宋_GB2312" w:cs="Times New Roman"/>
          <w:sz w:val="32"/>
          <w:szCs w:val="32"/>
          <w:lang w:eastAsia="zh-CN"/>
        </w:rPr>
        <w:t>无组织排放满足厂界限值要求。</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脱固实施冲洗水、</w:t>
      </w:r>
      <w:r>
        <w:rPr>
          <w:rFonts w:hint="default" w:ascii="Times New Roman" w:hAnsi="Times New Roman" w:eastAsia="仿宋_GB2312" w:cs="Times New Roman"/>
          <w:bCs/>
          <w:sz w:val="32"/>
          <w:szCs w:val="32"/>
        </w:rPr>
        <w:t>循环</w:t>
      </w:r>
      <w:r>
        <w:rPr>
          <w:rFonts w:hint="eastAsia" w:eastAsia="仿宋_GB2312" w:cs="Times New Roman"/>
          <w:bCs/>
          <w:sz w:val="32"/>
          <w:szCs w:val="32"/>
          <w:lang w:eastAsia="zh-CN"/>
        </w:rPr>
        <w:t>水场排污水</w:t>
      </w:r>
      <w:r>
        <w:rPr>
          <w:rFonts w:hint="default" w:ascii="Times New Roman" w:hAnsi="Times New Roman" w:eastAsia="仿宋_GB2312" w:cs="Times New Roman"/>
          <w:bCs/>
          <w:sz w:val="32"/>
          <w:szCs w:val="32"/>
        </w:rPr>
        <w:t>送至炼油部现有含油污水处理场及回用装置处理后回用，不外排。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合理布局，选用低噪声设备，并采取隔声降噪措施，保证厂界噪声达标。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做好各类固体废物的收集、贮存、运输和处置，做到资源化、减量化</w:t>
      </w:r>
      <w:r>
        <w:rPr>
          <w:rFonts w:hint="default" w:ascii="Times New Roman" w:hAnsi="Times New Roman" w:eastAsia="仿宋_GB2312" w:cs="Times New Roman"/>
          <w:sz w:val="32"/>
          <w:szCs w:val="32"/>
        </w:rPr>
        <w:t>、无害化。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废无机膜和含油抹布</w:t>
      </w:r>
      <w:r>
        <w:rPr>
          <w:rFonts w:hint="default" w:ascii="Times New Roman" w:hAnsi="Times New Roman" w:eastAsia="仿宋_GB2312" w:cs="Times New Roman"/>
          <w:sz w:val="32"/>
          <w:szCs w:val="32"/>
        </w:rPr>
        <w:t>等危险废物须按照《危险废物收集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贮存</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运输技术规范》（HJ2025-2012）进行收集、贮存及运输，并交由有相应资质的单位进行处理、处置；危险废物暂存</w:t>
      </w:r>
      <w:r>
        <w:rPr>
          <w:rFonts w:hint="default" w:ascii="Times New Roman" w:hAnsi="Times New Roman" w:eastAsia="仿宋_GB2312" w:cs="Times New Roman"/>
          <w:sz w:val="32"/>
          <w:szCs w:val="32"/>
          <w:lang w:eastAsia="zh-CN"/>
        </w:rPr>
        <w:t>场所</w:t>
      </w:r>
      <w:r>
        <w:rPr>
          <w:rFonts w:hint="default" w:ascii="Times New Roman" w:hAnsi="Times New Roman" w:eastAsia="仿宋_GB2312" w:cs="Times New Roman"/>
          <w:sz w:val="32"/>
          <w:szCs w:val="32"/>
        </w:rPr>
        <w:t>应按《危险废物贮存污染控制标准》（GB18597-20</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）进行建设和管理；严格按照《工业危险废物产生单位规范化管理指标及抽查表》做好危险废物规范化管理工作。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6.做好地下水污染和土壤污染的防控工作：完善分区防渗措施，严格落实</w:t>
      </w:r>
      <w:r>
        <w:rPr>
          <w:rFonts w:hint="eastAsia" w:eastAsia="仿宋_GB2312" w:cs="Times New Roman"/>
          <w:sz w:val="32"/>
          <w:szCs w:val="32"/>
          <w:lang w:val="en-US" w:eastAsia="zh-CN"/>
        </w:rPr>
        <w:t>土壤、</w:t>
      </w:r>
      <w:r>
        <w:rPr>
          <w:rFonts w:hint="default" w:ascii="Times New Roman" w:hAnsi="Times New Roman" w:eastAsia="仿宋_GB2312" w:cs="Times New Roman"/>
          <w:sz w:val="32"/>
          <w:szCs w:val="32"/>
          <w:lang w:val="en-US" w:eastAsia="zh-CN"/>
        </w:rPr>
        <w:t>地下水监测计划，按照相关规定定期监测地下水的水质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7.在依托现有工程的基础上，应进一步强化各项环境风险防范措施，完善突发环境风险应急预案</w:t>
      </w:r>
      <w:r>
        <w:rPr>
          <w:rFonts w:hint="eastAsia" w:eastAsia="仿宋_GB2312" w:cs="Times New Roman"/>
          <w:sz w:val="32"/>
          <w:szCs w:val="32"/>
          <w:lang w:val="en-US" w:eastAsia="zh-CN"/>
        </w:rPr>
        <w:t>并向区生态环境局报备。</w:t>
      </w:r>
      <w:r>
        <w:rPr>
          <w:rFonts w:hint="default" w:ascii="Times New Roman" w:hAnsi="Times New Roman" w:eastAsia="仿宋_GB2312" w:cs="Times New Roman"/>
          <w:sz w:val="32"/>
          <w:szCs w:val="32"/>
          <w:lang w:val="en-US" w:eastAsia="zh-CN"/>
        </w:rPr>
        <w:t>定期开展突发环境事件应急演练，提高应对突发环境风险事故的处理能力，有效防范环境风险。</w:t>
      </w:r>
    </w:p>
    <w:p>
      <w:pPr>
        <w:spacing w:line="360" w:lineRule="auto"/>
        <w:ind w:firstLine="640" w:firstLineChars="200"/>
        <w:textAlignment w:val="baseline"/>
        <w:rPr>
          <w:rFonts w:hint="eastAsia" w:eastAsia="仿宋_GB2312"/>
          <w:sz w:val="32"/>
          <w:szCs w:val="32"/>
          <w:lang w:val="en-US" w:eastAsia="zh-CN"/>
        </w:rPr>
      </w:pPr>
      <w:r>
        <w:rPr>
          <w:rFonts w:hint="default" w:ascii="Times New Roman" w:hAnsi="Times New Roman" w:eastAsia="仿宋_GB2312" w:cs="Times New Roman"/>
          <w:sz w:val="32"/>
          <w:szCs w:val="32"/>
          <w:lang w:val="en-US" w:eastAsia="zh-CN"/>
        </w:rPr>
        <w:t>三、</w:t>
      </w:r>
      <w:r>
        <w:rPr>
          <w:rFonts w:hint="eastAsia" w:eastAsia="仿宋_GB2312" w:cs="Times New Roman"/>
          <w:sz w:val="32"/>
          <w:szCs w:val="32"/>
          <w:lang w:eastAsia="zh-CN"/>
        </w:rPr>
        <w:t>该项目</w:t>
      </w:r>
      <w:r>
        <w:rPr>
          <w:rFonts w:hint="eastAsia" w:eastAsia="仿宋_GB2312"/>
          <w:sz w:val="32"/>
          <w:szCs w:val="32"/>
          <w:lang w:val="en-US" w:eastAsia="zh-CN"/>
        </w:rPr>
        <w:t>不涉及污染物排放总量。</w:t>
      </w:r>
    </w:p>
    <w:p>
      <w:pPr>
        <w:keepNext w:val="0"/>
        <w:keepLines w:val="0"/>
        <w:pageBreakBefore w:val="0"/>
        <w:widowControl w:val="0"/>
        <w:kinsoku/>
        <w:wordWrap/>
        <w:overflowPunct/>
        <w:topLinePunct w:val="0"/>
        <w:autoSpaceDE/>
        <w:autoSpaceDN/>
        <w:bidi w:val="0"/>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使用；在该项目</w:t>
      </w:r>
      <w:r>
        <w:rPr>
          <w:rFonts w:hint="default" w:ascii="Times New Roman" w:hAnsi="Times New Roman" w:eastAsia="仿宋_GB2312" w:cs="Times New Roman"/>
          <w:sz w:val="32"/>
          <w:szCs w:val="32"/>
          <w:lang w:eastAsia="zh-CN"/>
        </w:rPr>
        <w:t>发生实际排污之前，</w:t>
      </w:r>
      <w:r>
        <w:rPr>
          <w:rFonts w:hint="default" w:ascii="Times New Roman" w:hAnsi="Times New Roman" w:eastAsia="仿宋_GB2312" w:cs="Times New Roman"/>
          <w:sz w:val="32"/>
          <w:szCs w:val="32"/>
          <w:lang w:val="en-US" w:eastAsia="zh-CN"/>
        </w:rPr>
        <w:t>你公司应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《地下水质量标准》（GB/T14848-2017）</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cs="Times New Roman"/>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无组</w:t>
      </w:r>
      <w:r>
        <w:rPr>
          <w:rFonts w:hint="default" w:ascii="Times New Roman" w:hAnsi="Times New Roman" w:eastAsia="仿宋_GB2312" w:cs="Times New Roman"/>
          <w:sz w:val="32"/>
          <w:szCs w:val="32"/>
          <w:lang w:eastAsia="zh-CN"/>
        </w:rPr>
        <w:t>织排放的非甲烷总烃执行《石油炼制工业污染物排放标准》（GB31570-2015）；</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回用水执行</w:t>
      </w:r>
      <w:r>
        <w:rPr>
          <w:rFonts w:hint="default" w:ascii="Times New Roman" w:hAnsi="Times New Roman" w:eastAsia="仿宋_GB2312" w:cs="Times New Roman"/>
          <w:bCs/>
          <w:sz w:val="32"/>
          <w:szCs w:val="32"/>
        </w:rPr>
        <w:t>《城市污水再生利用 工业用水水质》（GB/T19923-2005）</w:t>
      </w:r>
      <w:r>
        <w:rPr>
          <w:rFonts w:hint="default" w:ascii="Times New Roman" w:hAnsi="Times New Roman" w:eastAsia="仿宋_GB2312" w:cs="Times New Roman"/>
          <w:bCs/>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《危险废物贮存污染控制标准》（GB18597-20</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eastAsia" w:eastAsia="仿宋_GB2312" w:cs="Times New Roman"/>
          <w:sz w:val="32"/>
          <w:szCs w:val="32"/>
          <w:lang w:eastAsia="zh-CN"/>
        </w:rPr>
      </w:pP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《危险废物收集</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贮存</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运输技术规范》（HJ2025-2012）</w:t>
      </w:r>
      <w:r>
        <w:rPr>
          <w:rFonts w:hint="eastAsia"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eastAsia" w:eastAsia="仿宋_GB2312" w:cs="Times New Roman"/>
          <w:sz w:val="32"/>
          <w:szCs w:val="32"/>
          <w:lang w:val="en-US" w:eastAsia="zh-CN"/>
        </w:rPr>
        <w:t>9</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pStyle w:val="3"/>
        <w:pageBreakBefore w:val="0"/>
        <w:widowControl w:val="0"/>
        <w:kinsoku/>
        <w:wordWrap w:val="0"/>
        <w:overflowPunct/>
        <w:topLinePunct w:val="0"/>
        <w:autoSpaceDE/>
        <w:autoSpaceDN/>
        <w:bidi w:val="0"/>
        <w:adjustRightInd/>
        <w:snapToGrid/>
        <w:spacing w:line="360" w:lineRule="auto"/>
        <w:ind w:firstLine="640" w:firstLineChars="200"/>
        <w:jc w:val="both"/>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eastAsia="仿宋_GB2312" w:cs="Times New Roman"/>
          <w:sz w:val="32"/>
          <w:szCs w:val="32"/>
          <w:lang w:eastAsia="zh-CN"/>
        </w:rPr>
        <w:t>。</w:t>
      </w: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3"/>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3</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10</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7</w:t>
      </w:r>
      <w:r>
        <w:rPr>
          <w:rFonts w:hint="default" w:ascii="Times New Roman" w:hAnsi="Times New Roman" w:eastAsia="仿宋_GB2312" w:cs="Times New Roman"/>
          <w:sz w:val="32"/>
          <w:lang w:val="en-US" w:eastAsia="zh-CN"/>
        </w:rPr>
        <w:t xml:space="preserve">日   </w:t>
      </w: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eastAsia" w:eastAsia="仿宋_GB2312" w:cs="Times New Roman"/>
          <w:sz w:val="28"/>
          <w:szCs w:val="28"/>
          <w:lang w:eastAsia="zh-CN"/>
        </w:rPr>
        <w:t>报告表</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7</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val="en-US" w:eastAsia="zh-CN"/>
        </w:rPr>
        <w:t xml:space="preserve"> </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945"/>
        <w:tab w:val="clear" w:pos="4153"/>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1332BB"/>
    <w:rsid w:val="027448D4"/>
    <w:rsid w:val="03213151"/>
    <w:rsid w:val="03360360"/>
    <w:rsid w:val="03A721F7"/>
    <w:rsid w:val="045E0635"/>
    <w:rsid w:val="04883B8C"/>
    <w:rsid w:val="04C7570B"/>
    <w:rsid w:val="04F14182"/>
    <w:rsid w:val="052028A1"/>
    <w:rsid w:val="052D7F94"/>
    <w:rsid w:val="05951337"/>
    <w:rsid w:val="05F9595A"/>
    <w:rsid w:val="062E3196"/>
    <w:rsid w:val="07CF6683"/>
    <w:rsid w:val="0812260A"/>
    <w:rsid w:val="09011B8A"/>
    <w:rsid w:val="098E4BD7"/>
    <w:rsid w:val="0A2B38B7"/>
    <w:rsid w:val="0B465319"/>
    <w:rsid w:val="0C405FB4"/>
    <w:rsid w:val="0D054984"/>
    <w:rsid w:val="0D3B59CD"/>
    <w:rsid w:val="0D560654"/>
    <w:rsid w:val="0D561C7C"/>
    <w:rsid w:val="0DA83EAF"/>
    <w:rsid w:val="0F3919D8"/>
    <w:rsid w:val="0F816E9B"/>
    <w:rsid w:val="10511791"/>
    <w:rsid w:val="10DE29D7"/>
    <w:rsid w:val="111F4694"/>
    <w:rsid w:val="113E16A1"/>
    <w:rsid w:val="12D210F5"/>
    <w:rsid w:val="12F732E5"/>
    <w:rsid w:val="135B2AA8"/>
    <w:rsid w:val="13B03544"/>
    <w:rsid w:val="14A960CE"/>
    <w:rsid w:val="15015DE7"/>
    <w:rsid w:val="15045C82"/>
    <w:rsid w:val="15795DAB"/>
    <w:rsid w:val="162A7EEF"/>
    <w:rsid w:val="164B3A94"/>
    <w:rsid w:val="18385531"/>
    <w:rsid w:val="18B716FF"/>
    <w:rsid w:val="194C0391"/>
    <w:rsid w:val="194D2965"/>
    <w:rsid w:val="198A6439"/>
    <w:rsid w:val="19E67A83"/>
    <w:rsid w:val="1A8D5D30"/>
    <w:rsid w:val="1C281B6B"/>
    <w:rsid w:val="1C293D74"/>
    <w:rsid w:val="1C5E66F7"/>
    <w:rsid w:val="1D1B7F9F"/>
    <w:rsid w:val="1D7C474C"/>
    <w:rsid w:val="1DA47F82"/>
    <w:rsid w:val="1DCA541D"/>
    <w:rsid w:val="1E076CB4"/>
    <w:rsid w:val="1E1060F6"/>
    <w:rsid w:val="1E74091F"/>
    <w:rsid w:val="1E7934F9"/>
    <w:rsid w:val="1E7F071B"/>
    <w:rsid w:val="1F363595"/>
    <w:rsid w:val="2087555A"/>
    <w:rsid w:val="21240591"/>
    <w:rsid w:val="22431C91"/>
    <w:rsid w:val="23600C7E"/>
    <w:rsid w:val="23CA69F1"/>
    <w:rsid w:val="23D62413"/>
    <w:rsid w:val="23E87AE3"/>
    <w:rsid w:val="240F5411"/>
    <w:rsid w:val="24B9401E"/>
    <w:rsid w:val="24D23C39"/>
    <w:rsid w:val="253A1F30"/>
    <w:rsid w:val="25547F3A"/>
    <w:rsid w:val="25611E40"/>
    <w:rsid w:val="26301E3E"/>
    <w:rsid w:val="26C626BC"/>
    <w:rsid w:val="2709199E"/>
    <w:rsid w:val="274B55F3"/>
    <w:rsid w:val="283662C3"/>
    <w:rsid w:val="29121C1A"/>
    <w:rsid w:val="299C3BC1"/>
    <w:rsid w:val="2B4571CB"/>
    <w:rsid w:val="2B827DFB"/>
    <w:rsid w:val="2D3E280E"/>
    <w:rsid w:val="2DA916AB"/>
    <w:rsid w:val="2EAD5884"/>
    <w:rsid w:val="2EC44C19"/>
    <w:rsid w:val="2EFE5594"/>
    <w:rsid w:val="2F6A4212"/>
    <w:rsid w:val="2FBB487B"/>
    <w:rsid w:val="30A7301A"/>
    <w:rsid w:val="30BC5390"/>
    <w:rsid w:val="30C65A6F"/>
    <w:rsid w:val="30DE044C"/>
    <w:rsid w:val="319670E1"/>
    <w:rsid w:val="328F2DD0"/>
    <w:rsid w:val="32BD3E0B"/>
    <w:rsid w:val="32DC4CE6"/>
    <w:rsid w:val="33815AAF"/>
    <w:rsid w:val="33EC13A9"/>
    <w:rsid w:val="3420390A"/>
    <w:rsid w:val="349E50E9"/>
    <w:rsid w:val="350407BA"/>
    <w:rsid w:val="357300D5"/>
    <w:rsid w:val="35922F49"/>
    <w:rsid w:val="35FE136C"/>
    <w:rsid w:val="3723249F"/>
    <w:rsid w:val="38C05E78"/>
    <w:rsid w:val="38F81121"/>
    <w:rsid w:val="39710D21"/>
    <w:rsid w:val="3A32587E"/>
    <w:rsid w:val="3A6D403A"/>
    <w:rsid w:val="3D0C768C"/>
    <w:rsid w:val="3D8239D8"/>
    <w:rsid w:val="3DDE798B"/>
    <w:rsid w:val="3E3D0697"/>
    <w:rsid w:val="3F2C2E18"/>
    <w:rsid w:val="401E12EB"/>
    <w:rsid w:val="413A0992"/>
    <w:rsid w:val="41742EE3"/>
    <w:rsid w:val="41752E1C"/>
    <w:rsid w:val="41BA4FD1"/>
    <w:rsid w:val="4226008C"/>
    <w:rsid w:val="427207C8"/>
    <w:rsid w:val="42ED2E59"/>
    <w:rsid w:val="440A5E67"/>
    <w:rsid w:val="443D0444"/>
    <w:rsid w:val="448C633B"/>
    <w:rsid w:val="45C94763"/>
    <w:rsid w:val="473A44CB"/>
    <w:rsid w:val="4751155D"/>
    <w:rsid w:val="47697740"/>
    <w:rsid w:val="48BE46A7"/>
    <w:rsid w:val="48D97524"/>
    <w:rsid w:val="494E4D51"/>
    <w:rsid w:val="49833837"/>
    <w:rsid w:val="4B106CD2"/>
    <w:rsid w:val="4D1D1521"/>
    <w:rsid w:val="4D395FE1"/>
    <w:rsid w:val="4DCF2012"/>
    <w:rsid w:val="4DFA0CDD"/>
    <w:rsid w:val="4E9E2F35"/>
    <w:rsid w:val="4EEC64E9"/>
    <w:rsid w:val="4FD50B6A"/>
    <w:rsid w:val="500F0C3D"/>
    <w:rsid w:val="50694D8B"/>
    <w:rsid w:val="50C652E8"/>
    <w:rsid w:val="50E057B9"/>
    <w:rsid w:val="51375E87"/>
    <w:rsid w:val="51EA731C"/>
    <w:rsid w:val="52392CEE"/>
    <w:rsid w:val="535C58B0"/>
    <w:rsid w:val="54015557"/>
    <w:rsid w:val="541B0D50"/>
    <w:rsid w:val="552F1B50"/>
    <w:rsid w:val="562E39E7"/>
    <w:rsid w:val="564535B7"/>
    <w:rsid w:val="56851D8D"/>
    <w:rsid w:val="56D82D31"/>
    <w:rsid w:val="56FC2048"/>
    <w:rsid w:val="57EB19AD"/>
    <w:rsid w:val="581422A4"/>
    <w:rsid w:val="583523D1"/>
    <w:rsid w:val="58363A36"/>
    <w:rsid w:val="58823D7B"/>
    <w:rsid w:val="59212B72"/>
    <w:rsid w:val="59465D4C"/>
    <w:rsid w:val="596858D8"/>
    <w:rsid w:val="59C84C94"/>
    <w:rsid w:val="59DB75CE"/>
    <w:rsid w:val="5A072110"/>
    <w:rsid w:val="5AAE415F"/>
    <w:rsid w:val="5AE173F0"/>
    <w:rsid w:val="5BA67AFB"/>
    <w:rsid w:val="5BAB4FC8"/>
    <w:rsid w:val="5C0E65CF"/>
    <w:rsid w:val="5C30736F"/>
    <w:rsid w:val="5C344FAE"/>
    <w:rsid w:val="5CC7686F"/>
    <w:rsid w:val="5D493CCC"/>
    <w:rsid w:val="5D6D3A74"/>
    <w:rsid w:val="5E8003DD"/>
    <w:rsid w:val="5FA32532"/>
    <w:rsid w:val="5FAB14C4"/>
    <w:rsid w:val="5FF14D4A"/>
    <w:rsid w:val="61680E55"/>
    <w:rsid w:val="62070BC1"/>
    <w:rsid w:val="62423878"/>
    <w:rsid w:val="628A6975"/>
    <w:rsid w:val="62F2644C"/>
    <w:rsid w:val="63936210"/>
    <w:rsid w:val="64DC0D59"/>
    <w:rsid w:val="65EE4F62"/>
    <w:rsid w:val="661160A9"/>
    <w:rsid w:val="66B62874"/>
    <w:rsid w:val="66D01090"/>
    <w:rsid w:val="675400CE"/>
    <w:rsid w:val="67873294"/>
    <w:rsid w:val="678A1676"/>
    <w:rsid w:val="696542C2"/>
    <w:rsid w:val="697D04EB"/>
    <w:rsid w:val="69E06C7A"/>
    <w:rsid w:val="6B93515D"/>
    <w:rsid w:val="6BA10C56"/>
    <w:rsid w:val="6C120FC7"/>
    <w:rsid w:val="6C290F57"/>
    <w:rsid w:val="6C2E403A"/>
    <w:rsid w:val="6C8B768D"/>
    <w:rsid w:val="6CFF3FF8"/>
    <w:rsid w:val="6D083D17"/>
    <w:rsid w:val="6D180D54"/>
    <w:rsid w:val="6D4A025B"/>
    <w:rsid w:val="6D8E1A1A"/>
    <w:rsid w:val="6DEB5D1C"/>
    <w:rsid w:val="6E0C2DE7"/>
    <w:rsid w:val="6E164B86"/>
    <w:rsid w:val="6E887136"/>
    <w:rsid w:val="6E8D2498"/>
    <w:rsid w:val="6FEF08DC"/>
    <w:rsid w:val="6FF72EC5"/>
    <w:rsid w:val="70534516"/>
    <w:rsid w:val="70C57082"/>
    <w:rsid w:val="70EF0949"/>
    <w:rsid w:val="71014E29"/>
    <w:rsid w:val="71D67B21"/>
    <w:rsid w:val="722D0B45"/>
    <w:rsid w:val="72FF4034"/>
    <w:rsid w:val="732734F5"/>
    <w:rsid w:val="73B01FEE"/>
    <w:rsid w:val="74607AA0"/>
    <w:rsid w:val="765E7F92"/>
    <w:rsid w:val="76CA1D50"/>
    <w:rsid w:val="76F438EE"/>
    <w:rsid w:val="77A83410"/>
    <w:rsid w:val="77DE434D"/>
    <w:rsid w:val="77F331E8"/>
    <w:rsid w:val="784A7DD4"/>
    <w:rsid w:val="792F1081"/>
    <w:rsid w:val="794753EE"/>
    <w:rsid w:val="79BA3054"/>
    <w:rsid w:val="7A736AB5"/>
    <w:rsid w:val="7A796401"/>
    <w:rsid w:val="7AB249C5"/>
    <w:rsid w:val="7B9F2135"/>
    <w:rsid w:val="7CC11575"/>
    <w:rsid w:val="7EB669ED"/>
    <w:rsid w:val="7FE1B624"/>
    <w:rsid w:val="936F6BB8"/>
    <w:rsid w:val="DFA9140D"/>
    <w:rsid w:val="ED6F9FA9"/>
    <w:rsid w:val="FFAC3C86"/>
    <w:rsid w:val="FFFEB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脚 Char"/>
    <w:basedOn w:val="8"/>
    <w:link w:val="5"/>
    <w:qFormat/>
    <w:uiPriority w:val="0"/>
    <w:rPr>
      <w:kern w:val="2"/>
      <w:sz w:val="18"/>
      <w:szCs w:val="18"/>
    </w:rPr>
  </w:style>
  <w:style w:type="character" w:customStyle="1" w:styleId="13">
    <w:name w:val="页眉 Char"/>
    <w:basedOn w:val="8"/>
    <w:link w:val="6"/>
    <w:qFormat/>
    <w:uiPriority w:val="0"/>
    <w:rPr>
      <w:kern w:val="2"/>
      <w:sz w:val="18"/>
      <w:szCs w:val="18"/>
    </w:rPr>
  </w:style>
  <w:style w:type="paragraph" w:customStyle="1" w:styleId="14">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1566</Words>
  <Characters>1738</Characters>
  <Lines>1</Lines>
  <Paragraphs>1</Paragraphs>
  <TotalTime>18</TotalTime>
  <ScaleCrop>false</ScaleCrop>
  <LinksUpToDate>false</LinksUpToDate>
  <CharactersWithSpaces>1796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2014-05-23T01:22:00Z</dcterms:created>
  <dc:creator>张明蕾</dc:creator>
  <cp:lastModifiedBy>许微</cp:lastModifiedBy>
  <cp:lastPrinted>2020-02-27T01:53:00Z</cp:lastPrinted>
  <dcterms:modified xsi:type="dcterms:W3CDTF">2023-10-12T09:52:29Z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FFCD6560D1D04479B7E07AB4723083BA_12</vt:lpwstr>
  </property>
</Properties>
</file>