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71" w:rsidRDefault="00D93971">
      <w:pPr>
        <w:spacing w:line="360" w:lineRule="auto"/>
        <w:jc w:val="center"/>
      </w:pPr>
    </w:p>
    <w:p w:rsidR="00D93971" w:rsidRDefault="00D93971">
      <w:pPr>
        <w:spacing w:line="360" w:lineRule="auto"/>
        <w:jc w:val="center"/>
      </w:pPr>
    </w:p>
    <w:p w:rsidR="00D93971" w:rsidRDefault="00D93971">
      <w:pPr>
        <w:spacing w:line="360" w:lineRule="auto"/>
        <w:jc w:val="center"/>
      </w:pPr>
    </w:p>
    <w:p w:rsidR="00D93971" w:rsidRDefault="00D93971">
      <w:pPr>
        <w:spacing w:line="360" w:lineRule="auto"/>
        <w:jc w:val="center"/>
        <w:rPr>
          <w:rFonts w:eastAsia="仿宋_GB2312"/>
          <w:sz w:val="32"/>
          <w:szCs w:val="32"/>
        </w:rPr>
      </w:pPr>
    </w:p>
    <w:p w:rsidR="00D93971" w:rsidRDefault="00D93971">
      <w:pPr>
        <w:jc w:val="center"/>
        <w:rPr>
          <w:rFonts w:eastAsia="仿宋_GB2312"/>
          <w:sz w:val="32"/>
          <w:szCs w:val="32"/>
        </w:rPr>
      </w:pPr>
    </w:p>
    <w:p w:rsidR="00D93971" w:rsidRDefault="003B0C99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141</w:t>
      </w:r>
      <w:bookmarkStart w:id="0" w:name="_GoBack"/>
      <w:bookmarkEnd w:id="0"/>
      <w:r>
        <w:rPr>
          <w:rFonts w:eastAsia="仿宋_GB2312"/>
          <w:sz w:val="32"/>
          <w:szCs w:val="32"/>
        </w:rPr>
        <w:t>号</w:t>
      </w:r>
    </w:p>
    <w:p w:rsidR="00D93971" w:rsidRDefault="00D93971">
      <w:pPr>
        <w:rPr>
          <w:rFonts w:eastAsia="仿宋_GB2312"/>
          <w:sz w:val="32"/>
          <w:szCs w:val="32"/>
        </w:rPr>
      </w:pPr>
    </w:p>
    <w:p w:rsidR="00D93971" w:rsidRDefault="00D93971">
      <w:pPr>
        <w:pStyle w:val="a9"/>
        <w:spacing w:line="580" w:lineRule="exact"/>
        <w:jc w:val="center"/>
        <w:rPr>
          <w:rFonts w:eastAsia="方正小标宋简体"/>
          <w:color w:val="000000"/>
          <w:sz w:val="15"/>
          <w:szCs w:val="15"/>
        </w:rPr>
      </w:pPr>
    </w:p>
    <w:p w:rsidR="00D93971" w:rsidRDefault="003B0C99">
      <w:pPr>
        <w:pStyle w:val="a9"/>
        <w:spacing w:line="58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关于</w:t>
      </w:r>
      <w:r>
        <w:rPr>
          <w:rFonts w:eastAsia="方正小标宋简体" w:hint="eastAsia"/>
          <w:color w:val="000000"/>
          <w:sz w:val="44"/>
        </w:rPr>
        <w:t>天津汇</w:t>
      </w:r>
      <w:proofErr w:type="gramStart"/>
      <w:r>
        <w:rPr>
          <w:rFonts w:eastAsia="方正小标宋简体" w:hint="eastAsia"/>
          <w:color w:val="000000"/>
          <w:sz w:val="44"/>
        </w:rPr>
        <w:t>洋石油</w:t>
      </w:r>
      <w:proofErr w:type="gramEnd"/>
      <w:r>
        <w:rPr>
          <w:rFonts w:eastAsia="方正小标宋简体" w:hint="eastAsia"/>
          <w:color w:val="000000"/>
          <w:sz w:val="44"/>
        </w:rPr>
        <w:t>物流有限公司油品增项项目</w:t>
      </w:r>
      <w:r>
        <w:rPr>
          <w:rFonts w:eastAsia="方正小标宋简体"/>
          <w:color w:val="000000"/>
          <w:sz w:val="44"/>
        </w:rPr>
        <w:t>环境影响</w:t>
      </w:r>
      <w:r>
        <w:rPr>
          <w:rFonts w:eastAsia="方正小标宋简体"/>
          <w:color w:val="000000"/>
          <w:sz w:val="44"/>
          <w:lang/>
        </w:rPr>
        <w:t>报告表</w:t>
      </w:r>
      <w:r>
        <w:rPr>
          <w:rFonts w:eastAsia="方正小标宋简体"/>
          <w:color w:val="000000"/>
          <w:sz w:val="44"/>
        </w:rPr>
        <w:t>的批复</w:t>
      </w:r>
    </w:p>
    <w:p w:rsidR="00D93971" w:rsidRDefault="00D93971">
      <w:pPr>
        <w:spacing w:line="0" w:lineRule="atLeast"/>
        <w:jc w:val="center"/>
        <w:rPr>
          <w:b/>
          <w:color w:val="000000"/>
          <w:sz w:val="44"/>
        </w:rPr>
      </w:pPr>
    </w:p>
    <w:p w:rsidR="00D93971" w:rsidRDefault="003B0C99">
      <w:pPr>
        <w:spacing w:line="640" w:lineRule="exac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天津汇</w:t>
      </w:r>
      <w:proofErr w:type="gramStart"/>
      <w:r>
        <w:rPr>
          <w:rFonts w:eastAsia="仿宋_GB2312" w:hint="eastAsia"/>
          <w:sz w:val="32"/>
          <w:szCs w:val="32"/>
        </w:rPr>
        <w:t>洋石油</w:t>
      </w:r>
      <w:proofErr w:type="gramEnd"/>
      <w:r>
        <w:rPr>
          <w:rFonts w:eastAsia="仿宋_GB2312" w:hint="eastAsia"/>
          <w:sz w:val="32"/>
          <w:szCs w:val="32"/>
        </w:rPr>
        <w:t>物流有限公司</w:t>
      </w:r>
      <w:r>
        <w:rPr>
          <w:rFonts w:eastAsia="仿宋_GB2312"/>
          <w:sz w:val="32"/>
          <w:szCs w:val="32"/>
        </w:rPr>
        <w:t>：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呈报的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天津汇洋石油物流有限公司油品增项项目</w:t>
      </w:r>
      <w:r>
        <w:rPr>
          <w:rFonts w:eastAsia="仿宋_GB2312"/>
          <w:sz w:val="32"/>
          <w:szCs w:val="32"/>
        </w:rPr>
        <w:t>环境影响</w:t>
      </w:r>
      <w:r>
        <w:rPr>
          <w:rFonts w:eastAsia="仿宋_GB2312"/>
          <w:sz w:val="32"/>
          <w:szCs w:val="32"/>
          <w:lang/>
        </w:rPr>
        <w:t>报告表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请示</w:t>
      </w:r>
      <w:r>
        <w:rPr>
          <w:rFonts w:eastAsia="仿宋_GB2312"/>
          <w:sz w:val="32"/>
          <w:szCs w:val="32"/>
        </w:rPr>
        <w:t>》、天津环科环境咨询有限公司《关于</w:t>
      </w:r>
      <w:r>
        <w:rPr>
          <w:rFonts w:eastAsia="仿宋_GB2312" w:hint="eastAsia"/>
          <w:sz w:val="32"/>
          <w:szCs w:val="32"/>
        </w:rPr>
        <w:t>天津汇洋石油物流有限公司油品增项项目</w:t>
      </w:r>
      <w:r>
        <w:rPr>
          <w:rFonts w:eastAsia="仿宋_GB2312"/>
          <w:sz w:val="32"/>
          <w:szCs w:val="32"/>
        </w:rPr>
        <w:t>环境影响</w:t>
      </w:r>
      <w:r>
        <w:rPr>
          <w:rFonts w:eastAsia="仿宋_GB2312"/>
          <w:sz w:val="32"/>
          <w:szCs w:val="32"/>
          <w:lang/>
        </w:rPr>
        <w:t>报告表</w:t>
      </w:r>
      <w:r>
        <w:rPr>
          <w:rFonts w:eastAsia="仿宋_GB2312"/>
          <w:sz w:val="32"/>
          <w:szCs w:val="32"/>
        </w:rPr>
        <w:t>的技术评估报告》（新区评估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中华全国供销合作总社天津再生资源研究所</w:t>
      </w:r>
      <w:r>
        <w:rPr>
          <w:rFonts w:eastAsia="仿宋_GB2312" w:hint="eastAsia"/>
          <w:sz w:val="32"/>
          <w:szCs w:val="32"/>
        </w:rPr>
        <w:t>编制的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天津汇洋石油物流有限公司油品</w:t>
      </w:r>
      <w:r>
        <w:rPr>
          <w:rFonts w:eastAsia="仿宋_GB2312" w:hint="eastAsia"/>
          <w:sz w:val="32"/>
          <w:szCs w:val="32"/>
        </w:rPr>
        <w:t>增项项目</w:t>
      </w:r>
      <w:r>
        <w:rPr>
          <w:rFonts w:eastAsia="仿宋_GB2312"/>
          <w:sz w:val="32"/>
          <w:szCs w:val="32"/>
        </w:rPr>
        <w:t>环境影响报告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等文件</w:t>
      </w:r>
      <w:r>
        <w:rPr>
          <w:rFonts w:eastAsia="仿宋_GB2312"/>
          <w:sz w:val="32"/>
          <w:szCs w:val="32"/>
        </w:rPr>
        <w:t>收悉。经我局研究，批复如下：</w:t>
      </w:r>
    </w:p>
    <w:p w:rsidR="00D93971" w:rsidRDefault="003B0C99">
      <w:pPr>
        <w:numPr>
          <w:ilvl w:val="0"/>
          <w:numId w:val="1"/>
        </w:numPr>
        <w:spacing w:line="640" w:lineRule="exact"/>
        <w:ind w:firstLineChars="200" w:firstLine="640"/>
        <w:textAlignment w:val="baseline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你公司</w:t>
      </w:r>
      <w:r>
        <w:rPr>
          <w:rFonts w:eastAsia="仿宋_GB2312" w:hint="eastAsia"/>
          <w:bCs/>
          <w:sz w:val="32"/>
          <w:szCs w:val="32"/>
        </w:rPr>
        <w:t>位于滨海新区</w:t>
      </w:r>
      <w:r>
        <w:rPr>
          <w:rFonts w:eastAsia="仿宋_GB2312"/>
          <w:bCs/>
          <w:sz w:val="32"/>
          <w:szCs w:val="32"/>
        </w:rPr>
        <w:t>天津港南疆港区</w:t>
      </w:r>
      <w:r>
        <w:rPr>
          <w:rFonts w:eastAsia="仿宋_GB2312" w:hint="eastAsia"/>
          <w:bCs/>
          <w:sz w:val="32"/>
          <w:szCs w:val="32"/>
        </w:rPr>
        <w:t>南二路</w:t>
      </w:r>
      <w:r>
        <w:rPr>
          <w:rFonts w:eastAsia="仿宋_GB2312" w:hint="eastAsia"/>
          <w:bCs/>
          <w:sz w:val="32"/>
          <w:szCs w:val="32"/>
        </w:rPr>
        <w:t>176</w:t>
      </w:r>
      <w:r>
        <w:rPr>
          <w:rFonts w:eastAsia="仿宋_GB2312" w:hint="eastAsia"/>
          <w:bCs/>
          <w:sz w:val="32"/>
          <w:szCs w:val="32"/>
        </w:rPr>
        <w:t>号</w:t>
      </w:r>
      <w:r>
        <w:rPr>
          <w:rFonts w:eastAsia="仿宋_GB2312" w:hint="eastAsia"/>
          <w:bCs/>
          <w:sz w:val="32"/>
          <w:szCs w:val="32"/>
        </w:rPr>
        <w:t>296</w:t>
      </w:r>
      <w:r>
        <w:rPr>
          <w:rFonts w:eastAsia="仿宋_GB2312" w:hint="eastAsia"/>
          <w:bCs/>
          <w:sz w:val="32"/>
          <w:szCs w:val="32"/>
        </w:rPr>
        <w:t>号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拟</w:t>
      </w:r>
      <w:r>
        <w:rPr>
          <w:rFonts w:eastAsia="仿宋_GB2312" w:hint="eastAsia"/>
          <w:bCs/>
          <w:sz w:val="32"/>
          <w:szCs w:val="32"/>
        </w:rPr>
        <w:t>利用现有储罐扩建新增油品项目</w:t>
      </w:r>
      <w:r>
        <w:rPr>
          <w:rFonts w:eastAsia="仿宋_GB2312" w:hint="eastAsia"/>
          <w:bCs/>
          <w:sz w:val="32"/>
          <w:szCs w:val="32"/>
        </w:rPr>
        <w:t>。</w:t>
      </w:r>
      <w:r>
        <w:rPr>
          <w:rFonts w:eastAsia="仿宋_GB2312" w:hint="eastAsia"/>
          <w:bCs/>
          <w:sz w:val="32"/>
          <w:szCs w:val="32"/>
        </w:rPr>
        <w:t>主要内容包括：削减</w:t>
      </w:r>
      <w:r>
        <w:rPr>
          <w:rFonts w:eastAsia="仿宋_GB2312"/>
          <w:bCs/>
          <w:sz w:val="32"/>
          <w:szCs w:val="32"/>
        </w:rPr>
        <w:t>现有</w:t>
      </w:r>
      <w:r>
        <w:rPr>
          <w:rFonts w:eastAsia="仿宋_GB2312" w:hint="eastAsia"/>
          <w:bCs/>
          <w:sz w:val="32"/>
          <w:szCs w:val="32"/>
        </w:rPr>
        <w:t>原油</w:t>
      </w:r>
      <w:r>
        <w:rPr>
          <w:rFonts w:eastAsia="仿宋_GB2312"/>
          <w:bCs/>
          <w:sz w:val="32"/>
          <w:szCs w:val="32"/>
        </w:rPr>
        <w:t>的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周转量，利用现有储罐（</w:t>
      </w:r>
      <w:r>
        <w:rPr>
          <w:rFonts w:eastAsia="仿宋_GB2312" w:hint="eastAsia"/>
          <w:bCs/>
          <w:sz w:val="32"/>
          <w:szCs w:val="32"/>
        </w:rPr>
        <w:t>T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~T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）进行新增的</w:t>
      </w:r>
      <w:r>
        <w:rPr>
          <w:rFonts w:eastAsia="仿宋_GB2312" w:hint="eastAsia"/>
          <w:bCs/>
          <w:sz w:val="32"/>
          <w:szCs w:val="32"/>
        </w:rPr>
        <w:t>稀释沥青、蜡油、油浆和轻质循环油</w:t>
      </w:r>
      <w:r>
        <w:rPr>
          <w:rFonts w:eastAsia="仿宋_GB2312" w:hint="eastAsia"/>
          <w:bCs/>
          <w:sz w:val="32"/>
          <w:szCs w:val="32"/>
        </w:rPr>
        <w:t>四</w:t>
      </w:r>
      <w:r>
        <w:rPr>
          <w:rFonts w:eastAsia="仿宋_GB2312"/>
          <w:bCs/>
          <w:sz w:val="32"/>
          <w:szCs w:val="32"/>
        </w:rPr>
        <w:t>种货种储存及收发。项目建</w:t>
      </w:r>
      <w:r>
        <w:rPr>
          <w:rFonts w:eastAsia="仿宋_GB2312" w:hint="eastAsia"/>
          <w:bCs/>
          <w:sz w:val="32"/>
          <w:szCs w:val="32"/>
        </w:rPr>
        <w:t>成</w:t>
      </w:r>
      <w:r>
        <w:rPr>
          <w:rFonts w:eastAsia="仿宋_GB2312"/>
          <w:bCs/>
          <w:sz w:val="32"/>
          <w:szCs w:val="32"/>
        </w:rPr>
        <w:t>后，设计</w:t>
      </w:r>
      <w:r>
        <w:rPr>
          <w:rFonts w:eastAsia="仿宋_GB2312" w:hint="eastAsia"/>
          <w:bCs/>
          <w:sz w:val="32"/>
          <w:szCs w:val="32"/>
        </w:rPr>
        <w:t>稀释沥青</w:t>
      </w:r>
      <w:r>
        <w:rPr>
          <w:rFonts w:eastAsia="仿宋_GB2312"/>
          <w:bCs/>
          <w:sz w:val="32"/>
          <w:szCs w:val="32"/>
        </w:rPr>
        <w:t>年周转量</w:t>
      </w:r>
      <w:r>
        <w:rPr>
          <w:rFonts w:eastAsia="仿宋_GB2312"/>
          <w:bCs/>
          <w:sz w:val="32"/>
          <w:szCs w:val="32"/>
        </w:rPr>
        <w:t>52.5</w:t>
      </w:r>
      <w:r>
        <w:rPr>
          <w:rFonts w:eastAsia="仿宋_GB2312"/>
          <w:bCs/>
          <w:sz w:val="32"/>
          <w:szCs w:val="32"/>
        </w:rPr>
        <w:t>万吨、</w:t>
      </w:r>
      <w:r>
        <w:rPr>
          <w:rFonts w:eastAsia="仿宋_GB2312" w:hint="eastAsia"/>
          <w:bCs/>
          <w:sz w:val="32"/>
          <w:szCs w:val="32"/>
        </w:rPr>
        <w:t>蜡油</w:t>
      </w:r>
      <w:r>
        <w:rPr>
          <w:rFonts w:eastAsia="仿宋_GB2312"/>
          <w:bCs/>
          <w:sz w:val="32"/>
          <w:szCs w:val="32"/>
        </w:rPr>
        <w:t>年周转量</w:t>
      </w:r>
      <w:r>
        <w:rPr>
          <w:rFonts w:eastAsia="仿宋_GB2312"/>
          <w:bCs/>
          <w:sz w:val="32"/>
          <w:szCs w:val="32"/>
        </w:rPr>
        <w:t>2.5</w:t>
      </w:r>
      <w:r>
        <w:rPr>
          <w:rFonts w:eastAsia="仿宋_GB2312"/>
          <w:bCs/>
          <w:sz w:val="32"/>
          <w:szCs w:val="32"/>
        </w:rPr>
        <w:t>万吨、</w:t>
      </w:r>
      <w:r>
        <w:rPr>
          <w:rFonts w:eastAsia="仿宋_GB2312" w:hint="eastAsia"/>
          <w:bCs/>
          <w:sz w:val="32"/>
          <w:szCs w:val="32"/>
        </w:rPr>
        <w:t>油浆</w:t>
      </w:r>
      <w:r>
        <w:rPr>
          <w:rFonts w:eastAsia="仿宋_GB2312"/>
          <w:bCs/>
          <w:sz w:val="32"/>
          <w:szCs w:val="32"/>
        </w:rPr>
        <w:lastRenderedPageBreak/>
        <w:t>年周转量</w:t>
      </w:r>
      <w:r>
        <w:rPr>
          <w:rFonts w:eastAsia="仿宋_GB2312"/>
          <w:bCs/>
          <w:sz w:val="32"/>
          <w:szCs w:val="32"/>
        </w:rPr>
        <w:t>2.5</w:t>
      </w:r>
      <w:r>
        <w:rPr>
          <w:rFonts w:eastAsia="仿宋_GB2312"/>
          <w:bCs/>
          <w:sz w:val="32"/>
          <w:szCs w:val="32"/>
        </w:rPr>
        <w:t>万吨、</w:t>
      </w:r>
      <w:r>
        <w:rPr>
          <w:rFonts w:eastAsia="仿宋_GB2312" w:hint="eastAsia"/>
          <w:bCs/>
          <w:sz w:val="32"/>
          <w:szCs w:val="32"/>
        </w:rPr>
        <w:t>轻质循环油</w:t>
      </w:r>
      <w:r>
        <w:rPr>
          <w:rFonts w:eastAsia="仿宋_GB2312"/>
          <w:bCs/>
          <w:sz w:val="32"/>
          <w:szCs w:val="32"/>
        </w:rPr>
        <w:t>年周转量</w:t>
      </w:r>
      <w:r>
        <w:rPr>
          <w:rFonts w:eastAsia="仿宋_GB2312"/>
          <w:bCs/>
          <w:sz w:val="32"/>
          <w:szCs w:val="32"/>
        </w:rPr>
        <w:t>2.5</w:t>
      </w:r>
      <w:r>
        <w:rPr>
          <w:rFonts w:eastAsia="仿宋_GB2312"/>
          <w:bCs/>
          <w:sz w:val="32"/>
          <w:szCs w:val="32"/>
        </w:rPr>
        <w:t>万吨</w:t>
      </w:r>
      <w:r>
        <w:rPr>
          <w:rFonts w:eastAsia="仿宋_GB2312" w:hint="eastAsia"/>
          <w:bCs/>
          <w:sz w:val="32"/>
          <w:szCs w:val="32"/>
        </w:rPr>
        <w:t>，原油的年周转量由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60</w:t>
      </w:r>
      <w:r>
        <w:rPr>
          <w:rFonts w:eastAsia="仿宋_GB2312" w:hint="eastAsia"/>
          <w:bCs/>
          <w:sz w:val="32"/>
          <w:szCs w:val="32"/>
        </w:rPr>
        <w:t>万吨降至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00</w:t>
      </w:r>
      <w:r>
        <w:rPr>
          <w:rFonts w:eastAsia="仿宋_GB2312" w:hint="eastAsia"/>
          <w:bCs/>
          <w:sz w:val="32"/>
          <w:szCs w:val="32"/>
        </w:rPr>
        <w:t>万吨，燃料油、汽油、柴油、煤油、石脑油年周转量</w:t>
      </w:r>
      <w:r>
        <w:rPr>
          <w:rFonts w:eastAsia="仿宋_GB2312"/>
          <w:bCs/>
          <w:sz w:val="32"/>
          <w:szCs w:val="32"/>
        </w:rPr>
        <w:t>不变，库区总库容</w:t>
      </w:r>
      <w:r>
        <w:rPr>
          <w:rFonts w:eastAsia="仿宋_GB2312" w:hint="eastAsia"/>
          <w:bCs/>
          <w:sz w:val="32"/>
          <w:szCs w:val="32"/>
        </w:rPr>
        <w:t>及</w:t>
      </w:r>
      <w:r>
        <w:rPr>
          <w:rFonts w:eastAsia="仿宋_GB2312"/>
          <w:bCs/>
          <w:sz w:val="32"/>
          <w:szCs w:val="32"/>
        </w:rPr>
        <w:t>总周转量均不发生变化</w:t>
      </w:r>
      <w:r>
        <w:rPr>
          <w:rFonts w:eastAsia="仿宋_GB2312" w:hint="eastAsia"/>
          <w:bCs/>
          <w:sz w:val="32"/>
          <w:szCs w:val="32"/>
        </w:rPr>
        <w:t>；同时拟对现有</w:t>
      </w:r>
      <w:proofErr w:type="gramStart"/>
      <w:r>
        <w:rPr>
          <w:rFonts w:eastAsia="仿宋_GB2312" w:hint="eastAsia"/>
          <w:bCs/>
          <w:sz w:val="32"/>
          <w:szCs w:val="32"/>
        </w:rPr>
        <w:t>危废间</w:t>
      </w:r>
      <w:proofErr w:type="gramEnd"/>
      <w:r>
        <w:rPr>
          <w:rFonts w:eastAsia="仿宋_GB2312" w:hint="eastAsia"/>
          <w:bCs/>
          <w:sz w:val="32"/>
          <w:szCs w:val="32"/>
        </w:rPr>
        <w:t>进行改造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项目总投资为</w:t>
      </w:r>
      <w:r>
        <w:rPr>
          <w:rFonts w:eastAsia="仿宋_GB2312" w:hint="eastAsia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万元，</w:t>
      </w:r>
      <w:r>
        <w:rPr>
          <w:rFonts w:eastAsia="仿宋_GB2312"/>
          <w:bCs/>
          <w:sz w:val="32"/>
          <w:szCs w:val="32"/>
        </w:rPr>
        <w:t>全部为环保</w:t>
      </w:r>
      <w:r>
        <w:rPr>
          <w:rFonts w:eastAsia="仿宋_GB2312"/>
          <w:bCs/>
          <w:sz w:val="32"/>
          <w:szCs w:val="32"/>
        </w:rPr>
        <w:t>投资</w:t>
      </w:r>
      <w:r>
        <w:rPr>
          <w:rFonts w:eastAsia="仿宋_GB2312"/>
          <w:bCs/>
          <w:sz w:val="32"/>
          <w:szCs w:val="32"/>
        </w:rPr>
        <w:t>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日，我</w:t>
      </w:r>
      <w:r>
        <w:rPr>
          <w:rFonts w:eastAsia="仿宋_GB2312"/>
          <w:sz w:val="32"/>
          <w:szCs w:val="32"/>
        </w:rPr>
        <w:t>局将该</w:t>
      </w:r>
      <w:proofErr w:type="gramStart"/>
      <w:r>
        <w:rPr>
          <w:rFonts w:eastAsia="仿宋_GB2312"/>
          <w:sz w:val="32"/>
          <w:szCs w:val="32"/>
        </w:rPr>
        <w:t>项目环评报告</w:t>
      </w:r>
      <w:proofErr w:type="gramEnd"/>
      <w:r>
        <w:rPr>
          <w:rFonts w:eastAsia="仿宋_GB2312"/>
          <w:sz w:val="32"/>
          <w:szCs w:val="32"/>
        </w:rPr>
        <w:t>的受理情况进行了公</w:t>
      </w:r>
      <w:r>
        <w:rPr>
          <w:rFonts w:eastAsia="仿宋_GB2312"/>
          <w:sz w:val="32"/>
          <w:szCs w:val="32"/>
        </w:rPr>
        <w:t>示；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日，将该</w:t>
      </w:r>
      <w:proofErr w:type="gramStart"/>
      <w:r>
        <w:rPr>
          <w:rFonts w:eastAsia="仿宋_GB2312"/>
          <w:sz w:val="32"/>
          <w:szCs w:val="32"/>
        </w:rPr>
        <w:t>项目环</w:t>
      </w:r>
      <w:proofErr w:type="gramEnd"/>
      <w:r>
        <w:rPr>
          <w:rFonts w:eastAsia="仿宋_GB2312"/>
          <w:sz w:val="32"/>
          <w:szCs w:val="32"/>
        </w:rPr>
        <w:t>评</w:t>
      </w:r>
      <w:r>
        <w:rPr>
          <w:rFonts w:eastAsia="仿宋_GB2312"/>
          <w:sz w:val="32"/>
          <w:szCs w:val="32"/>
        </w:rPr>
        <w:t>拟批复情况进行</w:t>
      </w:r>
      <w:r>
        <w:rPr>
          <w:rFonts w:eastAsia="仿宋_GB2312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结论，在严格落实环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所提出的各项污染防治措施、确保各类污染物稳定达标的前提下，</w:t>
      </w:r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中提出的污染防范措施：施工场地固体垃圾应及时清运；</w:t>
      </w:r>
      <w:r>
        <w:rPr>
          <w:rFonts w:eastAsia="仿宋_GB2312" w:hint="eastAsia"/>
          <w:sz w:val="32"/>
          <w:szCs w:val="32"/>
        </w:rPr>
        <w:t>妥善处理</w:t>
      </w:r>
      <w:r>
        <w:rPr>
          <w:rFonts w:eastAsia="仿宋_GB2312" w:hint="eastAsia"/>
          <w:sz w:val="32"/>
          <w:szCs w:val="32"/>
        </w:rPr>
        <w:t>施工</w:t>
      </w:r>
      <w:r>
        <w:rPr>
          <w:rFonts w:eastAsia="仿宋_GB2312" w:hint="eastAsia"/>
          <w:sz w:val="32"/>
          <w:szCs w:val="32"/>
        </w:rPr>
        <w:t>产生的施工</w:t>
      </w:r>
      <w:r>
        <w:rPr>
          <w:rFonts w:eastAsia="仿宋_GB2312" w:hint="eastAsia"/>
          <w:sz w:val="32"/>
          <w:szCs w:val="32"/>
        </w:rPr>
        <w:t>废水；</w:t>
      </w:r>
      <w:r>
        <w:rPr>
          <w:rFonts w:eastAsia="仿宋_GB2312"/>
          <w:sz w:val="32"/>
          <w:szCs w:val="32"/>
        </w:rPr>
        <w:t>合理安排施工时间和施工区域，加强对高噪声机械的管理。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油品</w:t>
      </w:r>
      <w:r>
        <w:rPr>
          <w:rFonts w:eastAsia="仿宋_GB2312"/>
          <w:sz w:val="32"/>
          <w:szCs w:val="32"/>
        </w:rPr>
        <w:t>装车</w:t>
      </w:r>
      <w:r>
        <w:rPr>
          <w:rFonts w:eastAsia="仿宋_GB2312" w:hint="eastAsia"/>
          <w:sz w:val="32"/>
          <w:szCs w:val="32"/>
        </w:rPr>
        <w:t>采用鹤管浸没式底部装车，废气</w:t>
      </w:r>
      <w:r>
        <w:rPr>
          <w:rFonts w:eastAsia="仿宋_GB2312" w:hint="eastAsia"/>
          <w:sz w:val="32"/>
          <w:szCs w:val="32"/>
        </w:rPr>
        <w:t>经</w:t>
      </w:r>
      <w:r>
        <w:rPr>
          <w:rFonts w:eastAsia="仿宋_GB2312" w:hint="eastAsia"/>
          <w:sz w:val="32"/>
          <w:szCs w:val="32"/>
        </w:rPr>
        <w:t>收集</w:t>
      </w:r>
      <w:r>
        <w:rPr>
          <w:rFonts w:eastAsia="仿宋_GB2312"/>
          <w:sz w:val="32"/>
          <w:szCs w:val="32"/>
        </w:rPr>
        <w:t>进入现有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一套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双</w:t>
      </w:r>
      <w:r>
        <w:rPr>
          <w:rFonts w:eastAsia="仿宋_GB2312"/>
          <w:sz w:val="32"/>
          <w:szCs w:val="32"/>
        </w:rPr>
        <w:t>冷凝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活性炭吸附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装置，处理</w:t>
      </w:r>
      <w:r>
        <w:rPr>
          <w:rFonts w:eastAsia="仿宋_GB2312" w:hint="eastAsia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由现有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根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米高排气筒</w:t>
      </w:r>
      <w:r>
        <w:rPr>
          <w:rFonts w:eastAsia="仿宋_GB2312" w:hint="eastAsia"/>
          <w:sz w:val="32"/>
          <w:szCs w:val="32"/>
        </w:rPr>
        <w:t>达标</w:t>
      </w:r>
      <w:r>
        <w:rPr>
          <w:rFonts w:eastAsia="仿宋_GB2312"/>
          <w:sz w:val="32"/>
          <w:szCs w:val="32"/>
        </w:rPr>
        <w:t>排放</w:t>
      </w:r>
      <w:r>
        <w:rPr>
          <w:rFonts w:eastAsia="仿宋_GB2312" w:hint="eastAsia"/>
          <w:sz w:val="32"/>
          <w:szCs w:val="32"/>
        </w:rPr>
        <w:t>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采取有效措施，</w:t>
      </w:r>
      <w:r>
        <w:rPr>
          <w:rFonts w:eastAsia="仿宋_GB2312"/>
          <w:sz w:val="32"/>
          <w:szCs w:val="32"/>
        </w:rPr>
        <w:t>减少废气的无组织排放，确保</w:t>
      </w:r>
      <w:r>
        <w:rPr>
          <w:rFonts w:eastAsia="仿宋_GB2312"/>
          <w:sz w:val="32"/>
          <w:szCs w:val="32"/>
        </w:rPr>
        <w:t>非甲烷总烃</w:t>
      </w:r>
      <w:r>
        <w:rPr>
          <w:rFonts w:eastAsia="仿宋_GB2312"/>
          <w:sz w:val="32"/>
          <w:szCs w:val="32"/>
        </w:rPr>
        <w:t>无组织排放</w:t>
      </w:r>
      <w:proofErr w:type="gramStart"/>
      <w:r>
        <w:rPr>
          <w:rFonts w:eastAsia="仿宋_GB2312"/>
          <w:sz w:val="32"/>
          <w:szCs w:val="32"/>
        </w:rPr>
        <w:t>满足厂</w:t>
      </w:r>
      <w:proofErr w:type="gramEnd"/>
      <w:r>
        <w:rPr>
          <w:rFonts w:eastAsia="仿宋_GB2312"/>
          <w:sz w:val="32"/>
          <w:szCs w:val="32"/>
        </w:rPr>
        <w:t>界限值要求。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该项目</w:t>
      </w:r>
      <w:r>
        <w:rPr>
          <w:rFonts w:eastAsia="仿宋_GB2312"/>
          <w:bCs/>
          <w:color w:val="000000"/>
          <w:sz w:val="32"/>
          <w:szCs w:val="32"/>
        </w:rPr>
        <w:t>无新增废水产生</w:t>
      </w:r>
      <w:r>
        <w:rPr>
          <w:rFonts w:eastAsia="仿宋_GB2312" w:hint="eastAsia"/>
          <w:sz w:val="32"/>
          <w:szCs w:val="32"/>
        </w:rPr>
        <w:t>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合理布局，选用低噪声设备，并采取隔声降噪措施，保证厂界噪声达标。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proofErr w:type="gramStart"/>
      <w:r>
        <w:rPr>
          <w:rFonts w:eastAsia="仿宋_GB2312" w:hint="eastAsia"/>
          <w:sz w:val="32"/>
          <w:szCs w:val="32"/>
        </w:rPr>
        <w:t>危废暂存</w:t>
      </w:r>
      <w:proofErr w:type="gramEnd"/>
      <w:r>
        <w:rPr>
          <w:rFonts w:eastAsia="仿宋_GB2312" w:hint="eastAsia"/>
          <w:sz w:val="32"/>
          <w:szCs w:val="32"/>
        </w:rPr>
        <w:t>间应</w:t>
      </w:r>
      <w:r>
        <w:rPr>
          <w:rFonts w:eastAsia="仿宋_GB2312"/>
          <w:sz w:val="32"/>
          <w:szCs w:val="32"/>
        </w:rPr>
        <w:t>按《危险废物贮存污染控制标准》（</w:t>
      </w:r>
      <w:r>
        <w:rPr>
          <w:rFonts w:eastAsia="仿宋_GB2312"/>
          <w:sz w:val="32"/>
          <w:szCs w:val="32"/>
        </w:rPr>
        <w:t>GB18597-2001</w:t>
      </w:r>
      <w:r>
        <w:rPr>
          <w:rFonts w:eastAsia="仿宋_GB2312"/>
          <w:sz w:val="32"/>
          <w:szCs w:val="32"/>
        </w:rPr>
        <w:t>）进行</w:t>
      </w:r>
      <w:r>
        <w:rPr>
          <w:rFonts w:eastAsia="仿宋_GB2312" w:hint="eastAsia"/>
          <w:sz w:val="32"/>
          <w:szCs w:val="32"/>
        </w:rPr>
        <w:t>改造</w:t>
      </w:r>
      <w:r>
        <w:rPr>
          <w:rFonts w:eastAsia="仿宋_GB2312"/>
          <w:sz w:val="32"/>
          <w:szCs w:val="32"/>
        </w:rPr>
        <w:t>和管理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做好各类固体废物的收集、贮存、运输和处置，做到资源化、减量化、无害化。</w:t>
      </w:r>
    </w:p>
    <w:p w:rsidR="00D93971" w:rsidRDefault="003B0C99">
      <w:pPr>
        <w:widowControl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清罐</w:t>
      </w:r>
      <w:r>
        <w:rPr>
          <w:rFonts w:eastAsia="仿宋_GB2312" w:hint="eastAsia"/>
          <w:sz w:val="32"/>
          <w:szCs w:val="32"/>
        </w:rPr>
        <w:t>产生</w:t>
      </w:r>
      <w:proofErr w:type="gramEnd"/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含油废水、沾染废物（含油棉纱、抹布）、油泥、废吸附材料（吸油毡）</w:t>
      </w:r>
      <w:r>
        <w:rPr>
          <w:rFonts w:eastAsia="仿宋_GB2312"/>
          <w:sz w:val="32"/>
          <w:szCs w:val="32"/>
        </w:rPr>
        <w:t>等危险废物须按照《危险废物收集贮存运输技术规范》（</w:t>
      </w:r>
      <w:r>
        <w:rPr>
          <w:rFonts w:eastAsia="仿宋_GB2312"/>
          <w:sz w:val="32"/>
          <w:szCs w:val="32"/>
        </w:rPr>
        <w:t>HJ2025-2012</w:t>
      </w:r>
      <w:r>
        <w:rPr>
          <w:rFonts w:eastAsia="仿宋_GB2312"/>
          <w:sz w:val="32"/>
          <w:szCs w:val="32"/>
        </w:rPr>
        <w:t>）进行收集、贮存及运输，并交由有相应资质的单位进行处理、处置；严格按照《工业危险废物产生单位规范化管理指标及抽查表》做好危险废物规范化管理工作。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完善</w:t>
      </w:r>
      <w:r>
        <w:rPr>
          <w:rFonts w:eastAsia="仿宋_GB2312"/>
          <w:sz w:val="32"/>
          <w:szCs w:val="32"/>
        </w:rPr>
        <w:t>地下水污染和土壤污染的防控</w:t>
      </w:r>
      <w:r>
        <w:rPr>
          <w:rFonts w:eastAsia="仿宋_GB2312" w:hint="eastAsia"/>
          <w:sz w:val="32"/>
          <w:szCs w:val="32"/>
        </w:rPr>
        <w:t>措施，</w:t>
      </w:r>
      <w:r>
        <w:rPr>
          <w:rFonts w:eastAsia="仿宋_GB2312"/>
          <w:sz w:val="32"/>
          <w:szCs w:val="32"/>
        </w:rPr>
        <w:t>严格落实地下水监测计划，按照相关规定定期监测地下水的水质。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进一步强化各项环境风险防范措施，完善突发环境风险应急预案，预案要与</w:t>
      </w:r>
      <w:r>
        <w:rPr>
          <w:rFonts w:eastAsia="仿宋_GB2312" w:hint="eastAsia"/>
          <w:sz w:val="32"/>
          <w:szCs w:val="32"/>
        </w:rPr>
        <w:t>天津港区域</w:t>
      </w:r>
      <w:r>
        <w:rPr>
          <w:rFonts w:eastAsia="仿宋_GB2312"/>
          <w:sz w:val="32"/>
          <w:szCs w:val="32"/>
        </w:rPr>
        <w:t>的事故应急预案相衔接、联动；定期开展突发环境事件应急演练，提高应对突发环境风险事故的处理能力，有效防范环境风险。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eastAsia="仿宋_GB2312" w:hint="eastAsia"/>
          <w:sz w:val="32"/>
          <w:szCs w:val="32"/>
        </w:rPr>
        <w:t>你公司对无组织排放的废气进行收集治理后，</w:t>
      </w:r>
      <w:r>
        <w:rPr>
          <w:rFonts w:eastAsia="仿宋_GB2312"/>
          <w:sz w:val="32"/>
          <w:szCs w:val="32"/>
        </w:rPr>
        <w:t xml:space="preserve">VOCs </w:t>
      </w:r>
      <w:r>
        <w:rPr>
          <w:rFonts w:eastAsia="仿宋_GB2312" w:hint="eastAsia"/>
          <w:sz w:val="32"/>
          <w:szCs w:val="32"/>
        </w:rPr>
        <w:t>排放量为</w:t>
      </w:r>
      <w:r>
        <w:rPr>
          <w:rFonts w:eastAsia="仿宋_GB2312"/>
          <w:sz w:val="32"/>
          <w:szCs w:val="32"/>
        </w:rPr>
        <w:t>0.0696</w:t>
      </w:r>
      <w:r>
        <w:rPr>
          <w:rFonts w:eastAsia="仿宋_GB2312" w:hint="eastAsia"/>
          <w:sz w:val="32"/>
          <w:szCs w:val="32"/>
        </w:rPr>
        <w:t>吨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年；其他污染物排放总量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新增</w:t>
      </w:r>
      <w:r>
        <w:rPr>
          <w:rFonts w:eastAsia="仿宋_GB2312"/>
          <w:sz w:val="32"/>
          <w:szCs w:val="32"/>
        </w:rPr>
        <w:t>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四、项目建设应严格执行环境保护设施与主体工程同时设计、同时施工、同时投产使用的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竣工后按</w:t>
      </w:r>
      <w:r>
        <w:rPr>
          <w:rFonts w:eastAsia="仿宋_GB2312"/>
          <w:sz w:val="32"/>
          <w:szCs w:val="32"/>
        </w:rPr>
        <w:lastRenderedPageBreak/>
        <w:t>规定的标准和程序开展环境保护验收，经验收合格后方可正式投入</w:t>
      </w:r>
      <w:r>
        <w:rPr>
          <w:rFonts w:eastAsia="仿宋_GB2312"/>
          <w:sz w:val="32"/>
          <w:szCs w:val="32"/>
        </w:rPr>
        <w:t>使用；在该项目</w:t>
      </w:r>
      <w:r>
        <w:rPr>
          <w:rFonts w:eastAsia="仿宋_GB2312"/>
          <w:sz w:val="32"/>
          <w:szCs w:val="32"/>
        </w:rPr>
        <w:t>发生实际排污之前，</w:t>
      </w:r>
      <w:r>
        <w:rPr>
          <w:rFonts w:eastAsia="仿宋_GB2312"/>
          <w:sz w:val="32"/>
          <w:szCs w:val="32"/>
        </w:rPr>
        <w:t>你公司应</w:t>
      </w:r>
      <w:r>
        <w:rPr>
          <w:rFonts w:eastAsia="仿宋_GB2312"/>
          <w:sz w:val="32"/>
          <w:szCs w:val="32"/>
        </w:rPr>
        <w:t>按照法律法规要求，做好排污许可管理相关工作；</w:t>
      </w:r>
      <w:proofErr w:type="gramStart"/>
      <w:r>
        <w:rPr>
          <w:rFonts w:eastAsia="仿宋_GB2312"/>
          <w:sz w:val="32"/>
          <w:szCs w:val="32"/>
        </w:rPr>
        <w:t>若项目的</w:t>
      </w:r>
      <w:proofErr w:type="gramEnd"/>
      <w:r>
        <w:rPr>
          <w:rFonts w:eastAsia="仿宋_GB2312"/>
          <w:sz w:val="32"/>
          <w:szCs w:val="32"/>
        </w:rPr>
        <w:t>性质、规模、地点、生产工艺或防治</w:t>
      </w:r>
      <w:r>
        <w:rPr>
          <w:rFonts w:eastAsia="仿宋_GB2312"/>
          <w:sz w:val="32"/>
          <w:szCs w:val="32"/>
        </w:rPr>
        <w:t>污染的措施发生重大变动，</w:t>
      </w:r>
      <w:r>
        <w:rPr>
          <w:rFonts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重新报批环境影响评价文件。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、项目应执行以下标准：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《地下水质量标准》（</w:t>
      </w:r>
      <w:r>
        <w:rPr>
          <w:rFonts w:eastAsia="仿宋_GB2312"/>
          <w:sz w:val="32"/>
          <w:szCs w:val="32"/>
        </w:rPr>
        <w:t>GB/T14848-2017</w:t>
      </w:r>
      <w:r>
        <w:rPr>
          <w:rFonts w:eastAsia="仿宋_GB2312"/>
          <w:sz w:val="32"/>
          <w:szCs w:val="32"/>
        </w:rPr>
        <w:t>）；《地表水环境质量标准》（</w:t>
      </w:r>
      <w:r>
        <w:rPr>
          <w:rFonts w:eastAsia="仿宋_GB2312"/>
          <w:sz w:val="32"/>
          <w:szCs w:val="32"/>
        </w:rPr>
        <w:t>GB3838-2002</w:t>
      </w:r>
      <w:r>
        <w:rPr>
          <w:rFonts w:eastAsia="仿宋_GB2312"/>
          <w:sz w:val="32"/>
          <w:szCs w:val="32"/>
        </w:rPr>
        <w:t>）；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《土壤环境质量建设用地土壤污染风险管控标准（试行）》（</w:t>
      </w:r>
      <w:r>
        <w:rPr>
          <w:rFonts w:eastAsia="仿宋_GB2312"/>
          <w:sz w:val="32"/>
          <w:szCs w:val="32"/>
        </w:rPr>
        <w:t>GB36600-2018</w:t>
      </w:r>
      <w:r>
        <w:rPr>
          <w:rFonts w:eastAsia="仿宋_GB2312"/>
          <w:sz w:val="32"/>
          <w:szCs w:val="32"/>
        </w:rPr>
        <w:t>）；</w:t>
      </w:r>
    </w:p>
    <w:p w:rsidR="00D93971" w:rsidRDefault="003B0C99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挥发性有机液体执行《挥发性有机物无组织排放控制标准》（</w:t>
      </w:r>
      <w:r>
        <w:rPr>
          <w:rFonts w:eastAsia="仿宋_GB2312"/>
          <w:sz w:val="32"/>
          <w:szCs w:val="32"/>
        </w:rPr>
        <w:t>GB37822-2019</w:t>
      </w:r>
      <w:r>
        <w:rPr>
          <w:rFonts w:eastAsia="仿宋_GB2312" w:hint="eastAsia"/>
          <w:sz w:val="32"/>
          <w:szCs w:val="32"/>
        </w:rPr>
        <w:t>）和《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库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大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染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物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排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放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GB20950-2020</w:t>
      </w:r>
      <w:r>
        <w:rPr>
          <w:rFonts w:eastAsia="仿宋_GB2312" w:hint="eastAsia"/>
          <w:sz w:val="32"/>
          <w:szCs w:val="32"/>
        </w:rPr>
        <w:t>）的相关要求；此外，现有储存货种中的</w:t>
      </w:r>
      <w:r>
        <w:rPr>
          <w:rFonts w:eastAsia="仿宋_GB2312"/>
          <w:sz w:val="32"/>
          <w:szCs w:val="32"/>
        </w:rPr>
        <w:t>原油、汽油、石脑油装车有组织</w:t>
      </w:r>
      <w:r>
        <w:rPr>
          <w:rFonts w:eastAsia="仿宋_GB2312" w:hint="eastAsia"/>
          <w:sz w:val="32"/>
          <w:szCs w:val="32"/>
        </w:rPr>
        <w:t>排放的</w:t>
      </w:r>
      <w:r>
        <w:rPr>
          <w:rFonts w:eastAsia="仿宋_GB2312"/>
          <w:sz w:val="32"/>
          <w:szCs w:val="32"/>
        </w:rPr>
        <w:t>废气</w:t>
      </w:r>
      <w:r>
        <w:rPr>
          <w:rFonts w:eastAsia="仿宋_GB2312" w:hint="eastAsia"/>
          <w:sz w:val="32"/>
          <w:szCs w:val="32"/>
        </w:rPr>
        <w:t>满足《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库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大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染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物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排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放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GB20950-2020</w:t>
      </w:r>
      <w:r>
        <w:rPr>
          <w:rFonts w:eastAsia="仿宋_GB2312" w:hint="eastAsia"/>
          <w:sz w:val="32"/>
          <w:szCs w:val="32"/>
        </w:rPr>
        <w:t>）中相应要求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其他油品</w:t>
      </w:r>
      <w:r>
        <w:rPr>
          <w:rFonts w:eastAsia="仿宋_GB2312"/>
          <w:sz w:val="32"/>
          <w:szCs w:val="32"/>
        </w:rPr>
        <w:t>装车有组织</w:t>
      </w:r>
      <w:r>
        <w:rPr>
          <w:rFonts w:eastAsia="仿宋_GB2312" w:hint="eastAsia"/>
          <w:sz w:val="32"/>
          <w:szCs w:val="32"/>
        </w:rPr>
        <w:t>排放的</w:t>
      </w:r>
      <w:r>
        <w:rPr>
          <w:rFonts w:eastAsia="仿宋_GB2312"/>
          <w:sz w:val="32"/>
          <w:szCs w:val="32"/>
        </w:rPr>
        <w:t>废气</w:t>
      </w:r>
      <w:r>
        <w:rPr>
          <w:rFonts w:eastAsia="仿宋_GB2312" w:hint="eastAsia"/>
          <w:sz w:val="32"/>
          <w:szCs w:val="32"/>
        </w:rPr>
        <w:t>应满足《大气污染物综合排放标准》（</w:t>
      </w:r>
      <w:r>
        <w:rPr>
          <w:rFonts w:eastAsia="仿宋_GB2312"/>
          <w:sz w:val="32"/>
          <w:szCs w:val="32"/>
        </w:rPr>
        <w:t>GB16297-1996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厂界</w:t>
      </w:r>
      <w:r>
        <w:rPr>
          <w:rFonts w:eastAsia="仿宋_GB2312"/>
          <w:sz w:val="32"/>
          <w:szCs w:val="32"/>
        </w:rPr>
        <w:t>无组织排放的非甲烷总烃</w:t>
      </w:r>
      <w:r>
        <w:rPr>
          <w:rFonts w:eastAsia="仿宋_GB2312" w:hint="eastAsia"/>
          <w:sz w:val="32"/>
          <w:szCs w:val="32"/>
        </w:rPr>
        <w:t>执行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库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大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染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物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排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放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GB20950-2020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93971" w:rsidRDefault="003B0C99">
      <w:pPr>
        <w:spacing w:line="640" w:lineRule="exact"/>
        <w:ind w:firstLine="63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《工业企业厂界环境噪声排放标准》（</w:t>
      </w:r>
      <w:r>
        <w:rPr>
          <w:rFonts w:eastAsia="仿宋_GB2312"/>
          <w:sz w:val="32"/>
          <w:szCs w:val="32"/>
        </w:rPr>
        <w:t>GB12348-2008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>；</w:t>
      </w:r>
    </w:p>
    <w:p w:rsidR="00D93971" w:rsidRDefault="003B0C99">
      <w:pPr>
        <w:spacing w:line="640" w:lineRule="exact"/>
        <w:ind w:firstLine="63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《危险废物贮存污染控制标准》（</w:t>
      </w:r>
      <w:r>
        <w:rPr>
          <w:rFonts w:eastAsia="仿宋_GB2312"/>
          <w:sz w:val="32"/>
          <w:szCs w:val="32"/>
        </w:rPr>
        <w:t>GB18597-2001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《危</w:t>
      </w:r>
      <w:r>
        <w:rPr>
          <w:rFonts w:eastAsia="仿宋_GB2312"/>
          <w:sz w:val="32"/>
          <w:szCs w:val="32"/>
        </w:rPr>
        <w:lastRenderedPageBreak/>
        <w:t>险废物收集贮存运输技术规范》（</w:t>
      </w:r>
      <w:r>
        <w:rPr>
          <w:rFonts w:eastAsia="仿宋_GB2312"/>
          <w:sz w:val="32"/>
          <w:szCs w:val="32"/>
        </w:rPr>
        <w:t>HJ2025-2012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D93971" w:rsidRDefault="003B0C99">
      <w:pPr>
        <w:spacing w:line="640" w:lineRule="exact"/>
        <w:ind w:firstLine="63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《建筑施工场界环境噪声排放标准》（</w:t>
      </w:r>
      <w:r>
        <w:rPr>
          <w:rFonts w:eastAsia="仿宋_GB2312"/>
          <w:sz w:val="32"/>
          <w:szCs w:val="32"/>
        </w:rPr>
        <w:t>GB12523-2011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D93971" w:rsidRDefault="003B0C99">
      <w:pPr>
        <w:pStyle w:val="1"/>
        <w:wordWrap w:val="0"/>
        <w:spacing w:line="64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此复</w:t>
      </w:r>
      <w:r>
        <w:rPr>
          <w:rFonts w:eastAsia="仿宋_GB2312" w:hint="eastAsia"/>
          <w:szCs w:val="32"/>
        </w:rPr>
        <w:t>。</w:t>
      </w:r>
    </w:p>
    <w:p w:rsidR="00D93971" w:rsidRDefault="00D93971">
      <w:pPr>
        <w:rPr>
          <w:rFonts w:eastAsia="仿宋_GB2312"/>
          <w:sz w:val="32"/>
          <w:szCs w:val="32"/>
        </w:rPr>
      </w:pPr>
    </w:p>
    <w:p w:rsidR="00D93971" w:rsidRDefault="00D93971">
      <w:pPr>
        <w:pStyle w:val="a0"/>
        <w:rPr>
          <w:rFonts w:eastAsia="仿宋_GB2312"/>
          <w:sz w:val="32"/>
          <w:szCs w:val="32"/>
        </w:rPr>
      </w:pPr>
    </w:p>
    <w:p w:rsidR="00D93971" w:rsidRDefault="00D93971">
      <w:pPr>
        <w:pStyle w:val="a0"/>
        <w:rPr>
          <w:rFonts w:eastAsia="仿宋_GB2312"/>
          <w:sz w:val="32"/>
          <w:szCs w:val="32"/>
        </w:rPr>
      </w:pPr>
    </w:p>
    <w:p w:rsidR="00D93971" w:rsidRDefault="00D93971">
      <w:pPr>
        <w:pStyle w:val="a0"/>
        <w:rPr>
          <w:rFonts w:eastAsia="仿宋_GB2312"/>
          <w:sz w:val="32"/>
          <w:szCs w:val="32"/>
        </w:rPr>
      </w:pPr>
    </w:p>
    <w:p w:rsidR="00D93971" w:rsidRDefault="003B0C99">
      <w:pPr>
        <w:pStyle w:val="1"/>
        <w:wordWrap w:val="0"/>
        <w:jc w:val="right"/>
        <w:rPr>
          <w:rFonts w:eastAsia="仿宋_GB2312"/>
        </w:rPr>
      </w:pPr>
      <w:r>
        <w:rPr>
          <w:rFonts w:eastAsia="仿宋_GB2312"/>
        </w:rPr>
        <w:t>202</w:t>
      </w:r>
      <w:r>
        <w:rPr>
          <w:rFonts w:eastAsia="仿宋_GB2312" w:hint="eastAsia"/>
        </w:rPr>
        <w:t>2</w:t>
      </w:r>
      <w:r>
        <w:rPr>
          <w:rFonts w:eastAsia="仿宋_GB2312"/>
        </w:rPr>
        <w:t>年</w:t>
      </w:r>
      <w:r>
        <w:rPr>
          <w:rFonts w:eastAsia="仿宋_GB2312" w:hint="eastAsia"/>
        </w:rPr>
        <w:t>7</w:t>
      </w:r>
      <w:r>
        <w:rPr>
          <w:rFonts w:eastAsia="仿宋_GB2312"/>
        </w:rPr>
        <w:t>月</w:t>
      </w:r>
      <w:r>
        <w:rPr>
          <w:rFonts w:eastAsia="仿宋_GB2312" w:hint="eastAsia"/>
        </w:rPr>
        <w:t>22</w:t>
      </w:r>
      <w:r>
        <w:rPr>
          <w:rFonts w:eastAsia="仿宋_GB2312"/>
        </w:rPr>
        <w:t>日</w:t>
      </w:r>
      <w:r>
        <w:rPr>
          <w:rFonts w:eastAsia="仿宋_GB2312"/>
        </w:rPr>
        <w:t xml:space="preserve">   </w:t>
      </w:r>
    </w:p>
    <w:p w:rsidR="00D93971" w:rsidRDefault="00D93971">
      <w:pPr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p w:rsidR="00D93971" w:rsidRDefault="00D93971">
      <w:pPr>
        <w:pStyle w:val="a0"/>
        <w:rPr>
          <w:rFonts w:eastAsia="仿宋_GB2312"/>
          <w:sz w:val="32"/>
        </w:rPr>
      </w:pPr>
    </w:p>
    <w:sectPr w:rsidR="00D93971" w:rsidSect="00D93971">
      <w:footerReference w:type="even" r:id="rId8"/>
      <w:footerReference w:type="default" r:id="rId9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71" w:rsidRDefault="00D93971" w:rsidP="00D93971">
      <w:r>
        <w:separator/>
      </w:r>
    </w:p>
  </w:endnote>
  <w:endnote w:type="continuationSeparator" w:id="1">
    <w:p w:rsidR="00D93971" w:rsidRDefault="00D93971" w:rsidP="00D9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71" w:rsidRDefault="00D9397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B0C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3971" w:rsidRDefault="00D9397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71" w:rsidRDefault="00D93971">
    <w:pPr>
      <w:pStyle w:val="a4"/>
      <w:tabs>
        <w:tab w:val="clear" w:pos="4153"/>
        <w:tab w:val="left" w:pos="1945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93971" w:rsidRDefault="00D9397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3B0C99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B0C99">
                  <w:rPr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B0C99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71" w:rsidRDefault="00D93971" w:rsidP="00D93971">
      <w:r>
        <w:separator/>
      </w:r>
    </w:p>
  </w:footnote>
  <w:footnote w:type="continuationSeparator" w:id="1">
    <w:p w:rsidR="00D93971" w:rsidRDefault="00D93971" w:rsidP="00D93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491F8F"/>
    <w:multiLevelType w:val="singleLevel"/>
    <w:tmpl w:val="A5491F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U4Y2IxYWRjN2EzMDcyYTNjZmRhN2U4ZWRiYWRmNGEifQ=="/>
  </w:docVars>
  <w:rsids>
    <w:rsidRoot w:val="00745E92"/>
    <w:rsid w:val="ED6F9FA9"/>
    <w:rsid w:val="000052E2"/>
    <w:rsid w:val="000D0BAA"/>
    <w:rsid w:val="000F7AB4"/>
    <w:rsid w:val="001070EC"/>
    <w:rsid w:val="00145F43"/>
    <w:rsid w:val="00152774"/>
    <w:rsid w:val="00180D2F"/>
    <w:rsid w:val="001964EB"/>
    <w:rsid w:val="001A023C"/>
    <w:rsid w:val="001C7D61"/>
    <w:rsid w:val="00234BD5"/>
    <w:rsid w:val="00254B41"/>
    <w:rsid w:val="002E284B"/>
    <w:rsid w:val="002F77FC"/>
    <w:rsid w:val="00345096"/>
    <w:rsid w:val="00371377"/>
    <w:rsid w:val="00380F59"/>
    <w:rsid w:val="00396D44"/>
    <w:rsid w:val="003B0C99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7B62FE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93971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E5BA6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96080C"/>
    <w:rsid w:val="01AA3C90"/>
    <w:rsid w:val="021332BB"/>
    <w:rsid w:val="027448D4"/>
    <w:rsid w:val="03213151"/>
    <w:rsid w:val="03360360"/>
    <w:rsid w:val="03A721F7"/>
    <w:rsid w:val="045E0635"/>
    <w:rsid w:val="04883B8C"/>
    <w:rsid w:val="04C7570B"/>
    <w:rsid w:val="04F14182"/>
    <w:rsid w:val="052028A1"/>
    <w:rsid w:val="052D7F94"/>
    <w:rsid w:val="05951337"/>
    <w:rsid w:val="05F9595A"/>
    <w:rsid w:val="062E3196"/>
    <w:rsid w:val="07CF6683"/>
    <w:rsid w:val="0812260A"/>
    <w:rsid w:val="09011B8A"/>
    <w:rsid w:val="098E4BD7"/>
    <w:rsid w:val="0A2B38B7"/>
    <w:rsid w:val="0B465319"/>
    <w:rsid w:val="0C405FB4"/>
    <w:rsid w:val="0D054984"/>
    <w:rsid w:val="0D3B59CD"/>
    <w:rsid w:val="0D560654"/>
    <w:rsid w:val="0D561C7C"/>
    <w:rsid w:val="0DA83EAF"/>
    <w:rsid w:val="0F3919D8"/>
    <w:rsid w:val="0F816E9B"/>
    <w:rsid w:val="0F914382"/>
    <w:rsid w:val="10511791"/>
    <w:rsid w:val="10DE29D7"/>
    <w:rsid w:val="111F4694"/>
    <w:rsid w:val="113E16A1"/>
    <w:rsid w:val="12D210F5"/>
    <w:rsid w:val="12F732E5"/>
    <w:rsid w:val="135B2AA8"/>
    <w:rsid w:val="13B03544"/>
    <w:rsid w:val="14A960CE"/>
    <w:rsid w:val="15015DE7"/>
    <w:rsid w:val="15045C82"/>
    <w:rsid w:val="15795DAB"/>
    <w:rsid w:val="162A7EEF"/>
    <w:rsid w:val="164B3A94"/>
    <w:rsid w:val="18385531"/>
    <w:rsid w:val="18B716FF"/>
    <w:rsid w:val="194C0391"/>
    <w:rsid w:val="194D2965"/>
    <w:rsid w:val="198A6439"/>
    <w:rsid w:val="19E67A83"/>
    <w:rsid w:val="1A8D5D30"/>
    <w:rsid w:val="1C281B6B"/>
    <w:rsid w:val="1C293D74"/>
    <w:rsid w:val="1C5E66F7"/>
    <w:rsid w:val="1D1B7F9F"/>
    <w:rsid w:val="1D7C474C"/>
    <w:rsid w:val="1DA47F82"/>
    <w:rsid w:val="1DCA541D"/>
    <w:rsid w:val="1E076CB4"/>
    <w:rsid w:val="1E1060F6"/>
    <w:rsid w:val="1E74091F"/>
    <w:rsid w:val="1E7F071B"/>
    <w:rsid w:val="1F363595"/>
    <w:rsid w:val="1F6A33D1"/>
    <w:rsid w:val="1F852334"/>
    <w:rsid w:val="2087555A"/>
    <w:rsid w:val="21156812"/>
    <w:rsid w:val="21240591"/>
    <w:rsid w:val="22431C91"/>
    <w:rsid w:val="23600C7E"/>
    <w:rsid w:val="23CA69F1"/>
    <w:rsid w:val="23D62413"/>
    <w:rsid w:val="23E87AE3"/>
    <w:rsid w:val="240F5411"/>
    <w:rsid w:val="24B9401E"/>
    <w:rsid w:val="24D23C39"/>
    <w:rsid w:val="253A1F30"/>
    <w:rsid w:val="25547F3A"/>
    <w:rsid w:val="25611E40"/>
    <w:rsid w:val="26301E3E"/>
    <w:rsid w:val="26C626BC"/>
    <w:rsid w:val="2709199E"/>
    <w:rsid w:val="274B55F3"/>
    <w:rsid w:val="283662C3"/>
    <w:rsid w:val="29121C1A"/>
    <w:rsid w:val="299C3BC1"/>
    <w:rsid w:val="2B827DFB"/>
    <w:rsid w:val="2D3E280E"/>
    <w:rsid w:val="2DA916AB"/>
    <w:rsid w:val="2EAD5884"/>
    <w:rsid w:val="2EC44C19"/>
    <w:rsid w:val="2EEE2F86"/>
    <w:rsid w:val="2EFE5594"/>
    <w:rsid w:val="2F6A4212"/>
    <w:rsid w:val="2FBB487B"/>
    <w:rsid w:val="30A7301A"/>
    <w:rsid w:val="30BC5390"/>
    <w:rsid w:val="30C65A6F"/>
    <w:rsid w:val="30DE044C"/>
    <w:rsid w:val="319670E1"/>
    <w:rsid w:val="328F2DD0"/>
    <w:rsid w:val="329C7CEA"/>
    <w:rsid w:val="32BD3E0B"/>
    <w:rsid w:val="32DC4CE6"/>
    <w:rsid w:val="33815AAF"/>
    <w:rsid w:val="33EC13A9"/>
    <w:rsid w:val="3420390A"/>
    <w:rsid w:val="349E50E9"/>
    <w:rsid w:val="350407BA"/>
    <w:rsid w:val="357300D5"/>
    <w:rsid w:val="35922F49"/>
    <w:rsid w:val="35FE136C"/>
    <w:rsid w:val="36FE46E3"/>
    <w:rsid w:val="37101386"/>
    <w:rsid w:val="3723249F"/>
    <w:rsid w:val="38C05E78"/>
    <w:rsid w:val="38F81121"/>
    <w:rsid w:val="39710D21"/>
    <w:rsid w:val="3A32587E"/>
    <w:rsid w:val="3A6D403A"/>
    <w:rsid w:val="3C046B96"/>
    <w:rsid w:val="3D0C768C"/>
    <w:rsid w:val="3D8239D8"/>
    <w:rsid w:val="3DDE798B"/>
    <w:rsid w:val="3E3D0697"/>
    <w:rsid w:val="3F2C2E18"/>
    <w:rsid w:val="401E12EB"/>
    <w:rsid w:val="413A0992"/>
    <w:rsid w:val="41742EE3"/>
    <w:rsid w:val="41752E1C"/>
    <w:rsid w:val="41BA4FD1"/>
    <w:rsid w:val="4226008C"/>
    <w:rsid w:val="427207C8"/>
    <w:rsid w:val="42ED2E59"/>
    <w:rsid w:val="440A5E67"/>
    <w:rsid w:val="448C633B"/>
    <w:rsid w:val="45C94763"/>
    <w:rsid w:val="4751155D"/>
    <w:rsid w:val="47697740"/>
    <w:rsid w:val="476C4F3E"/>
    <w:rsid w:val="48BE46A7"/>
    <w:rsid w:val="48D97524"/>
    <w:rsid w:val="494E4D51"/>
    <w:rsid w:val="49833837"/>
    <w:rsid w:val="4B106CD2"/>
    <w:rsid w:val="4D1D1521"/>
    <w:rsid w:val="4D395FE1"/>
    <w:rsid w:val="4DCF2012"/>
    <w:rsid w:val="4DFA0CDD"/>
    <w:rsid w:val="4E9E2F35"/>
    <w:rsid w:val="4EEC64E9"/>
    <w:rsid w:val="4FD50B6A"/>
    <w:rsid w:val="500F0C3D"/>
    <w:rsid w:val="50694D8B"/>
    <w:rsid w:val="50C652E8"/>
    <w:rsid w:val="51375E87"/>
    <w:rsid w:val="51EA731C"/>
    <w:rsid w:val="52392CEE"/>
    <w:rsid w:val="535C58B0"/>
    <w:rsid w:val="53B020AE"/>
    <w:rsid w:val="54015557"/>
    <w:rsid w:val="541B0D50"/>
    <w:rsid w:val="545C66DA"/>
    <w:rsid w:val="552F1B50"/>
    <w:rsid w:val="562E39E7"/>
    <w:rsid w:val="564535B7"/>
    <w:rsid w:val="56851D8D"/>
    <w:rsid w:val="56D82D31"/>
    <w:rsid w:val="56FC2048"/>
    <w:rsid w:val="57EB19AD"/>
    <w:rsid w:val="581422A4"/>
    <w:rsid w:val="583523D1"/>
    <w:rsid w:val="58363A36"/>
    <w:rsid w:val="58823D7B"/>
    <w:rsid w:val="591879F0"/>
    <w:rsid w:val="59212B72"/>
    <w:rsid w:val="59465D4C"/>
    <w:rsid w:val="596858D8"/>
    <w:rsid w:val="59C84C94"/>
    <w:rsid w:val="59DB75CE"/>
    <w:rsid w:val="5A072110"/>
    <w:rsid w:val="5AAE415F"/>
    <w:rsid w:val="5AE173F0"/>
    <w:rsid w:val="5BA67AFB"/>
    <w:rsid w:val="5BAB4FC8"/>
    <w:rsid w:val="5C0E65CF"/>
    <w:rsid w:val="5C30736F"/>
    <w:rsid w:val="5C344FAE"/>
    <w:rsid w:val="5CC7686F"/>
    <w:rsid w:val="5D493CCC"/>
    <w:rsid w:val="5D6D3A74"/>
    <w:rsid w:val="5E8003DD"/>
    <w:rsid w:val="5FA32532"/>
    <w:rsid w:val="5FAB14C4"/>
    <w:rsid w:val="5FF14D4A"/>
    <w:rsid w:val="60B36848"/>
    <w:rsid w:val="61680E55"/>
    <w:rsid w:val="62070BC1"/>
    <w:rsid w:val="62423878"/>
    <w:rsid w:val="628A6975"/>
    <w:rsid w:val="62F2644C"/>
    <w:rsid w:val="63936210"/>
    <w:rsid w:val="64424746"/>
    <w:rsid w:val="64DC0D59"/>
    <w:rsid w:val="657E3EFE"/>
    <w:rsid w:val="65EE4F62"/>
    <w:rsid w:val="661160A9"/>
    <w:rsid w:val="664E6420"/>
    <w:rsid w:val="66B62874"/>
    <w:rsid w:val="66D01090"/>
    <w:rsid w:val="675400CE"/>
    <w:rsid w:val="67873294"/>
    <w:rsid w:val="678A1676"/>
    <w:rsid w:val="69066408"/>
    <w:rsid w:val="696542C2"/>
    <w:rsid w:val="697D04EB"/>
    <w:rsid w:val="69E06C7A"/>
    <w:rsid w:val="6B93515D"/>
    <w:rsid w:val="6BA10C56"/>
    <w:rsid w:val="6C120FC7"/>
    <w:rsid w:val="6C290F57"/>
    <w:rsid w:val="6C2E403A"/>
    <w:rsid w:val="6C8B768D"/>
    <w:rsid w:val="6CFF3FF8"/>
    <w:rsid w:val="6D083D17"/>
    <w:rsid w:val="6D180D54"/>
    <w:rsid w:val="6D4A025B"/>
    <w:rsid w:val="6D8E1A1A"/>
    <w:rsid w:val="6DEB5D1C"/>
    <w:rsid w:val="6E0C2DE7"/>
    <w:rsid w:val="6E164B86"/>
    <w:rsid w:val="6E887136"/>
    <w:rsid w:val="6E8D2498"/>
    <w:rsid w:val="6FF72EC5"/>
    <w:rsid w:val="70534516"/>
    <w:rsid w:val="70C57082"/>
    <w:rsid w:val="70EF0949"/>
    <w:rsid w:val="71014E29"/>
    <w:rsid w:val="71D67B21"/>
    <w:rsid w:val="722D0B45"/>
    <w:rsid w:val="72FF4034"/>
    <w:rsid w:val="732734F5"/>
    <w:rsid w:val="73B01FEE"/>
    <w:rsid w:val="74607AA0"/>
    <w:rsid w:val="765E7F92"/>
    <w:rsid w:val="76CA1D50"/>
    <w:rsid w:val="76F438EE"/>
    <w:rsid w:val="773A6D6F"/>
    <w:rsid w:val="77A83410"/>
    <w:rsid w:val="77DE434D"/>
    <w:rsid w:val="77F331E8"/>
    <w:rsid w:val="784A7DD4"/>
    <w:rsid w:val="792F1081"/>
    <w:rsid w:val="794753EE"/>
    <w:rsid w:val="796A4FE1"/>
    <w:rsid w:val="79BA3054"/>
    <w:rsid w:val="7A736AB5"/>
    <w:rsid w:val="7A796401"/>
    <w:rsid w:val="7AB249C5"/>
    <w:rsid w:val="7B9F2135"/>
    <w:rsid w:val="7CC11575"/>
    <w:rsid w:val="7EB669ED"/>
    <w:rsid w:val="7EF351F9"/>
    <w:rsid w:val="7FEDA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939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93971"/>
    <w:pPr>
      <w:keepNext/>
      <w:keepLines/>
      <w:outlineLvl w:val="0"/>
    </w:pPr>
    <w:rPr>
      <w:rFonts w:eastAsia="黑体"/>
      <w:kern w:val="44"/>
      <w:sz w:val="32"/>
    </w:rPr>
  </w:style>
  <w:style w:type="paragraph" w:styleId="3">
    <w:name w:val="heading 3"/>
    <w:basedOn w:val="a"/>
    <w:next w:val="a"/>
    <w:semiHidden/>
    <w:unhideWhenUsed/>
    <w:qFormat/>
    <w:rsid w:val="00D93971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93971"/>
    <w:pPr>
      <w:ind w:firstLine="420"/>
    </w:pPr>
  </w:style>
  <w:style w:type="paragraph" w:styleId="a4">
    <w:name w:val="footer"/>
    <w:basedOn w:val="a"/>
    <w:link w:val="Char"/>
    <w:qFormat/>
    <w:rsid w:val="00D9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93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D93971"/>
  </w:style>
  <w:style w:type="character" w:styleId="a7">
    <w:name w:val="Emphasis"/>
    <w:basedOn w:val="a1"/>
    <w:qFormat/>
    <w:rsid w:val="00D93971"/>
    <w:rPr>
      <w:i/>
    </w:rPr>
  </w:style>
  <w:style w:type="character" w:styleId="a8">
    <w:name w:val="Hyperlink"/>
    <w:basedOn w:val="a1"/>
    <w:qFormat/>
    <w:rsid w:val="00D93971"/>
    <w:rPr>
      <w:color w:val="0000FF"/>
      <w:u w:val="single"/>
    </w:rPr>
  </w:style>
  <w:style w:type="character" w:customStyle="1" w:styleId="Char">
    <w:name w:val="页脚 Char"/>
    <w:basedOn w:val="a1"/>
    <w:link w:val="a4"/>
    <w:qFormat/>
    <w:rsid w:val="00D93971"/>
    <w:rPr>
      <w:kern w:val="2"/>
      <w:sz w:val="18"/>
      <w:szCs w:val="18"/>
    </w:rPr>
  </w:style>
  <w:style w:type="character" w:customStyle="1" w:styleId="Char0">
    <w:name w:val="页眉 Char"/>
    <w:basedOn w:val="a1"/>
    <w:link w:val="a5"/>
    <w:qFormat/>
    <w:rsid w:val="00D93971"/>
    <w:rPr>
      <w:kern w:val="2"/>
      <w:sz w:val="18"/>
      <w:szCs w:val="18"/>
    </w:rPr>
  </w:style>
  <w:style w:type="paragraph" w:customStyle="1" w:styleId="a9">
    <w:name w:val="中文报告书样式"/>
    <w:basedOn w:val="a"/>
    <w:qFormat/>
    <w:rsid w:val="00D93971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1743</Words>
  <Characters>308</Characters>
  <Application>Microsoft Office Word</Application>
  <DocSecurity>0</DocSecurity>
  <Lines>2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5</cp:revision>
  <cp:lastPrinted>2021-04-22T09:59:00Z</cp:lastPrinted>
  <dcterms:created xsi:type="dcterms:W3CDTF">2014-05-22T17:22:00Z</dcterms:created>
  <dcterms:modified xsi:type="dcterms:W3CDTF">2022-07-25T00:41:00Z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0EBEF79497C5434F940ABB6B2F7328A3</vt:lpwstr>
  </property>
</Properties>
</file>