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p>
    <w:p>
      <w:pPr>
        <w:rPr>
          <w:rFonts w:ascii="仿宋_GB2312" w:eastAsia="仿宋_GB2312"/>
          <w:color w:val="auto"/>
          <w:sz w:val="32"/>
          <w:szCs w:val="32"/>
        </w:rPr>
      </w:pPr>
    </w:p>
    <w:p>
      <w:pPr>
        <w:pStyle w:val="5"/>
        <w:rPr>
          <w:color w:val="auto"/>
        </w:rPr>
      </w:pPr>
    </w:p>
    <w:p>
      <w:pPr>
        <w:spacing w:line="360" w:lineRule="auto"/>
        <w:jc w:val="center"/>
        <w:rPr>
          <w:rFonts w:ascii="仿宋_GB2312" w:eastAsia="仿宋_GB2312"/>
          <w:color w:val="auto"/>
          <w:sz w:val="32"/>
          <w:szCs w:val="32"/>
        </w:rPr>
      </w:pPr>
    </w:p>
    <w:p>
      <w:pPr>
        <w:jc w:val="center"/>
        <w:rPr>
          <w:rFonts w:hint="default" w:ascii="Times New Roman" w:hAnsi="Times New Roman" w:eastAsia="仿宋_GB2312" w:cs="Times New Roman"/>
          <w:color w:val="auto"/>
          <w:sz w:val="32"/>
          <w:szCs w:val="32"/>
        </w:rPr>
      </w:pPr>
    </w:p>
    <w:p>
      <w:pPr>
        <w:jc w:val="center"/>
        <w:rPr>
          <w:rFonts w:ascii="仿宋_GB2312" w:eastAsia="仿宋_GB2312"/>
          <w:color w:val="auto"/>
          <w:sz w:val="32"/>
          <w:szCs w:val="32"/>
        </w:rPr>
      </w:pPr>
      <w:r>
        <w:rPr>
          <w:rFonts w:hint="default" w:ascii="Times New Roman" w:hAnsi="Times New Roman" w:eastAsia="仿宋_GB2312" w:cs="Times New Roman"/>
          <w:color w:val="auto"/>
          <w:sz w:val="32"/>
          <w:szCs w:val="32"/>
        </w:rPr>
        <w:t>津滨审批二室准〔20</w:t>
      </w:r>
      <w:r>
        <w:rPr>
          <w:rFonts w:hint="eastAsia"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118</w:t>
      </w:r>
      <w:r>
        <w:rPr>
          <w:rFonts w:hint="default" w:ascii="Times New Roman" w:hAnsi="Times New Roman" w:eastAsia="仿宋_GB2312" w:cs="Times New Roman"/>
          <w:color w:val="auto"/>
          <w:sz w:val="32"/>
          <w:szCs w:val="32"/>
        </w:rPr>
        <w:t>号</w:t>
      </w:r>
      <w:bookmarkStart w:id="0" w:name="_GoBack"/>
      <w:bookmarkEnd w:id="0"/>
    </w:p>
    <w:p>
      <w:pPr>
        <w:pStyle w:val="14"/>
        <w:keepNext w:val="0"/>
        <w:keepLines w:val="0"/>
        <w:pageBreakBefore w:val="0"/>
        <w:widowControl w:val="0"/>
        <w:kinsoku/>
        <w:wordWrap/>
        <w:overflowPunct/>
        <w:topLinePunct w:val="0"/>
        <w:autoSpaceDE/>
        <w:autoSpaceDN/>
        <w:bidi w:val="0"/>
        <w:adjustRightInd w:val="0"/>
        <w:snapToGrid/>
        <w:spacing w:line="360" w:lineRule="auto"/>
        <w:jc w:val="center"/>
        <w:textAlignment w:val="baseline"/>
        <w:outlineLvl w:val="9"/>
        <w:rPr>
          <w:rFonts w:hint="eastAsia" w:ascii="Times New Roman" w:hAnsi="Times New Roman" w:eastAsia="仿宋_GB2312" w:cs="Times New Roman"/>
          <w:color w:val="auto"/>
          <w:kern w:val="2"/>
          <w:sz w:val="11"/>
          <w:szCs w:val="11"/>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Times New Roman"/>
          <w:color w:val="auto"/>
          <w:sz w:val="44"/>
          <w:lang w:val="en-US" w:eastAsia="zh-CN"/>
        </w:rPr>
      </w:pPr>
      <w:r>
        <w:rPr>
          <w:rFonts w:hint="default" w:ascii="Times New Roman" w:hAnsi="Times New Roman" w:eastAsia="方正小标宋简体" w:cs="Times New Roman"/>
          <w:color w:val="auto"/>
          <w:sz w:val="44"/>
        </w:rPr>
        <w:t>关于</w:t>
      </w:r>
      <w:r>
        <w:rPr>
          <w:rFonts w:hint="eastAsia" w:ascii="Times New Roman" w:hAnsi="Times New Roman" w:eastAsia="方正小标宋简体" w:cs="Times New Roman"/>
          <w:color w:val="auto"/>
          <w:sz w:val="44"/>
          <w:lang w:val="en-US" w:eastAsia="zh-CN"/>
        </w:rPr>
        <w:t>天津鑫鑫建筑材料有限责任公司新建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Times New Roman"/>
          <w:color w:val="auto"/>
          <w:sz w:val="44"/>
          <w:lang w:val="en-US" w:eastAsia="zh-CN"/>
        </w:rPr>
      </w:pPr>
      <w:r>
        <w:rPr>
          <w:rFonts w:hint="eastAsia" w:ascii="Times New Roman" w:hAnsi="Times New Roman" w:eastAsia="方正小标宋简体" w:cs="Times New Roman"/>
          <w:color w:val="auto"/>
          <w:sz w:val="44"/>
          <w:lang w:val="en-US" w:eastAsia="zh-CN"/>
        </w:rPr>
        <w:t>机制砂、石粉、干粉砂浆及水泥构件项目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color w:val="auto"/>
          <w:sz w:val="44"/>
        </w:rPr>
      </w:pPr>
      <w:r>
        <w:rPr>
          <w:rFonts w:hint="default" w:ascii="Times New Roman" w:hAnsi="Times New Roman" w:eastAsia="方正小标宋简体" w:cs="Times New Roman"/>
          <w:color w:val="auto"/>
          <w:sz w:val="44"/>
        </w:rPr>
        <w:t>环境影响报告表的批复</w:t>
      </w:r>
    </w:p>
    <w:p>
      <w:pPr>
        <w:keepNext w:val="0"/>
        <w:keepLines w:val="0"/>
        <w:pageBreakBefore w:val="0"/>
        <w:widowControl w:val="0"/>
        <w:kinsoku/>
        <w:wordWrap/>
        <w:overflowPunct/>
        <w:topLinePunct w:val="0"/>
        <w:autoSpaceDE/>
        <w:autoSpaceDN/>
        <w:bidi w:val="0"/>
        <w:snapToGrid/>
        <w:spacing w:line="360" w:lineRule="auto"/>
        <w:textAlignment w:val="baseline"/>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snapToGrid/>
        <w:spacing w:line="360" w:lineRule="auto"/>
        <w:textAlignment w:val="baseline"/>
        <w:outlineLvl w:val="9"/>
        <w:rPr>
          <w:rFonts w:hint="eastAsia" w:eastAsia="仿宋_GB2312" w:cs="Times New Roman"/>
          <w:color w:val="auto"/>
          <w:sz w:val="32"/>
          <w:szCs w:val="32"/>
          <w:lang w:eastAsia="zh-CN"/>
        </w:rPr>
      </w:pPr>
      <w:r>
        <w:rPr>
          <w:rFonts w:hint="eastAsia" w:eastAsia="仿宋_GB2312"/>
          <w:color w:val="auto"/>
          <w:sz w:val="32"/>
          <w:szCs w:val="32"/>
          <w:lang w:eastAsia="zh-CN"/>
        </w:rPr>
        <w:t>天津鑫鑫建筑材料有限责任公司</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eastAsia="仿宋_GB2312"/>
          <w:color w:val="auto"/>
          <w:sz w:val="32"/>
          <w:szCs w:val="32"/>
        </w:rPr>
      </w:pPr>
      <w:r>
        <w:rPr>
          <w:rFonts w:eastAsia="仿宋_GB2312"/>
          <w:color w:val="auto"/>
          <w:sz w:val="32"/>
          <w:szCs w:val="32"/>
        </w:rPr>
        <w:t>你公司呈报的</w:t>
      </w:r>
      <w:r>
        <w:rPr>
          <w:rFonts w:hint="eastAsia" w:eastAsia="仿宋_GB2312"/>
          <w:color w:val="auto"/>
          <w:sz w:val="32"/>
          <w:szCs w:val="32"/>
          <w:lang w:val="en-US" w:eastAsia="zh-CN"/>
        </w:rPr>
        <w:t>《关于天津鑫鑫建筑材料有限责任公司新建机制砂、石粉、干粉砂浆及水泥构件项目环境影响报告表报批请示》</w:t>
      </w:r>
      <w:r>
        <w:rPr>
          <w:rFonts w:hint="default" w:eastAsia="仿宋_GB2312"/>
          <w:color w:val="auto"/>
          <w:sz w:val="32"/>
          <w:szCs w:val="32"/>
          <w:lang w:val="en-US" w:eastAsia="zh-CN"/>
        </w:rPr>
        <w:t>和</w:t>
      </w:r>
      <w:r>
        <w:rPr>
          <w:rFonts w:hint="eastAsia" w:eastAsia="仿宋_GB2312"/>
          <w:color w:val="auto"/>
          <w:sz w:val="32"/>
          <w:szCs w:val="32"/>
          <w:lang w:eastAsia="zh-CN"/>
        </w:rPr>
        <w:t>辽宁飞思</w:t>
      </w:r>
      <w:r>
        <w:rPr>
          <w:rFonts w:hint="default" w:eastAsia="仿宋_GB2312"/>
          <w:color w:val="auto"/>
          <w:sz w:val="32"/>
          <w:szCs w:val="32"/>
          <w:lang w:eastAsia="zh-CN"/>
        </w:rPr>
        <w:t>海洋科技有限公司</w:t>
      </w:r>
      <w:r>
        <w:rPr>
          <w:rFonts w:hint="eastAsia" w:eastAsia="仿宋_GB2312"/>
          <w:color w:val="auto"/>
          <w:sz w:val="32"/>
          <w:szCs w:val="32"/>
          <w:lang w:eastAsia="zh-CN"/>
        </w:rPr>
        <w:t>《天津鑫鑫建筑材料有限责任公司新建机制砂、石粉、干粉砂浆及水泥构件项目</w:t>
      </w:r>
      <w:r>
        <w:rPr>
          <w:rFonts w:hint="eastAsia" w:eastAsia="仿宋_GB2312"/>
          <w:color w:val="auto"/>
          <w:sz w:val="32"/>
          <w:szCs w:val="32"/>
          <w:lang w:val="en-US" w:eastAsia="zh-CN"/>
        </w:rPr>
        <w:t>环境影响报告表</w:t>
      </w:r>
      <w:r>
        <w:rPr>
          <w:rFonts w:hint="eastAsia" w:eastAsia="仿宋_GB2312"/>
          <w:color w:val="auto"/>
          <w:sz w:val="32"/>
          <w:szCs w:val="32"/>
          <w:lang w:eastAsia="zh-CN"/>
        </w:rPr>
        <w:t>》</w:t>
      </w:r>
      <w:r>
        <w:rPr>
          <w:rFonts w:hint="eastAsia" w:eastAsia="仿宋_GB2312"/>
          <w:color w:val="auto"/>
          <w:sz w:val="32"/>
          <w:szCs w:val="32"/>
          <w:lang w:val="en-US" w:eastAsia="zh-CN"/>
        </w:rPr>
        <w:t>等材料</w:t>
      </w:r>
      <w:r>
        <w:rPr>
          <w:rFonts w:hint="eastAsia" w:eastAsia="仿宋_GB2312"/>
          <w:color w:val="auto"/>
          <w:sz w:val="32"/>
          <w:szCs w:val="32"/>
          <w:lang w:eastAsia="zh-CN"/>
        </w:rPr>
        <w:t>收悉。</w:t>
      </w:r>
      <w:r>
        <w:rPr>
          <w:rFonts w:eastAsia="仿宋_GB2312"/>
          <w:color w:val="auto"/>
          <w:sz w:val="32"/>
          <w:szCs w:val="32"/>
        </w:rPr>
        <w:t>经研究，现批复如下：</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lang w:val="en-US" w:eastAsia="zh-CN"/>
        </w:rPr>
        <w:t>一、</w:t>
      </w:r>
      <w:r>
        <w:rPr>
          <w:rFonts w:hint="eastAsia" w:eastAsia="仿宋_GB2312"/>
          <w:color w:val="auto"/>
          <w:sz w:val="32"/>
          <w:szCs w:val="32"/>
          <w:lang w:eastAsia="zh-CN"/>
        </w:rPr>
        <w:t>你公</w:t>
      </w:r>
      <w:r>
        <w:rPr>
          <w:rFonts w:hint="eastAsia" w:ascii="Times New Roman" w:hAnsi="Times New Roman" w:eastAsia="仿宋_GB2312" w:cs="Times New Roman"/>
          <w:color w:val="auto"/>
          <w:sz w:val="32"/>
          <w:szCs w:val="32"/>
          <w:lang w:eastAsia="zh-CN"/>
        </w:rPr>
        <w:t>司租赁</w:t>
      </w:r>
      <w:r>
        <w:rPr>
          <w:rFonts w:hint="eastAsia" w:ascii="Times New Roman" w:hAnsi="Times New Roman" w:eastAsia="仿宋_GB2312" w:cs="Times New Roman"/>
          <w:color w:val="auto"/>
          <w:sz w:val="32"/>
          <w:szCs w:val="32"/>
          <w:lang w:val="en-US" w:eastAsia="zh-CN"/>
        </w:rPr>
        <w:t>天津市交通集团汉沽有限公司（</w:t>
      </w:r>
      <w:r>
        <w:rPr>
          <w:rFonts w:hint="eastAsia" w:ascii="Times New Roman" w:hAnsi="Times New Roman" w:eastAsia="仿宋_GB2312" w:cs="Times New Roman"/>
          <w:color w:val="auto"/>
          <w:sz w:val="32"/>
          <w:szCs w:val="32"/>
          <w:lang w:eastAsia="zh-CN"/>
        </w:rPr>
        <w:t>位于滨海新区</w:t>
      </w:r>
      <w:r>
        <w:rPr>
          <w:rFonts w:hint="eastAsia" w:eastAsia="仿宋_GB2312" w:cs="Times New Roman"/>
          <w:color w:val="auto"/>
          <w:sz w:val="32"/>
          <w:szCs w:val="32"/>
          <w:lang w:val="en-US" w:eastAsia="zh-CN"/>
        </w:rPr>
        <w:t>汉沽街芦汉路</w:t>
      </w:r>
      <w:r>
        <w:rPr>
          <w:rFonts w:hint="eastAsia" w:ascii="Times New Roman" w:hAnsi="Times New Roman" w:eastAsia="仿宋_GB2312" w:cs="Times New Roman"/>
          <w:color w:val="auto"/>
          <w:sz w:val="32"/>
          <w:szCs w:val="32"/>
          <w:lang w:val="en-US" w:eastAsia="zh-CN"/>
        </w:rPr>
        <w:t>）的闲置厂房和场地，新建</w:t>
      </w:r>
      <w:r>
        <w:rPr>
          <w:rFonts w:hint="default" w:ascii="Times New Roman" w:hAnsi="Times New Roman" w:eastAsia="仿宋_GB2312" w:cs="Times New Roman"/>
          <w:color w:val="auto"/>
          <w:sz w:val="32"/>
          <w:szCs w:val="32"/>
          <w:lang w:val="en-US" w:eastAsia="zh-CN"/>
        </w:rPr>
        <w:t>机制砂和石粉生产线、干粉砂浆生产线、水泥构件生产线</w:t>
      </w:r>
      <w:r>
        <w:rPr>
          <w:rFonts w:hint="eastAsia" w:ascii="Times New Roman" w:hAnsi="Times New Roman" w:eastAsia="仿宋_GB2312" w:cs="Times New Roman"/>
          <w:color w:val="auto"/>
          <w:sz w:val="32"/>
          <w:szCs w:val="32"/>
          <w:lang w:val="en-US" w:eastAsia="zh-CN"/>
        </w:rPr>
        <w:t>各一条，生产规模为机制砂</w:t>
      </w: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59200吨/年、石粉64630吨/年、干粉砂浆</w:t>
      </w:r>
      <w:r>
        <w:rPr>
          <w:rFonts w:hint="default" w:ascii="Times New Roman" w:hAnsi="Times New Roman" w:eastAsia="仿宋_GB2312" w:cs="Times New Roman"/>
          <w:color w:val="auto"/>
          <w:sz w:val="32"/>
          <w:szCs w:val="32"/>
          <w:lang w:val="en-US" w:eastAsia="zh-CN"/>
        </w:rPr>
        <w:t>134416</w:t>
      </w:r>
      <w:r>
        <w:rPr>
          <w:rFonts w:hint="eastAsia" w:ascii="Times New Roman" w:hAnsi="Times New Roman" w:eastAsia="仿宋_GB2312" w:cs="Times New Roman"/>
          <w:color w:val="auto"/>
          <w:sz w:val="32"/>
          <w:szCs w:val="32"/>
          <w:lang w:val="en-US" w:eastAsia="zh-CN"/>
        </w:rPr>
        <w:t>吨/年、水泥构件66425吨/年。项目总投资</w:t>
      </w:r>
      <w:r>
        <w:rPr>
          <w:rFonts w:hint="eastAsia"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val="en-US" w:eastAsia="zh-CN"/>
        </w:rPr>
        <w:t>00万元，</w:t>
      </w:r>
      <w:r>
        <w:rPr>
          <w:rFonts w:hint="default" w:ascii="Times New Roman" w:hAnsi="Times New Roman" w:eastAsia="仿宋_GB2312" w:cs="Times New Roman"/>
          <w:color w:val="auto"/>
          <w:sz w:val="32"/>
          <w:szCs w:val="32"/>
          <w:lang w:val="en-US" w:eastAsia="zh-CN"/>
        </w:rPr>
        <w:t>环保投资</w:t>
      </w:r>
      <w:r>
        <w:rPr>
          <w:rFonts w:hint="eastAsia" w:eastAsia="仿宋_GB2312" w:cs="Times New Roman"/>
          <w:color w:val="auto"/>
          <w:sz w:val="32"/>
          <w:szCs w:val="32"/>
          <w:lang w:val="en-US" w:eastAsia="zh-CN"/>
        </w:rPr>
        <w:t>77</w:t>
      </w:r>
      <w:r>
        <w:rPr>
          <w:rFonts w:hint="eastAsia"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约占总投资的</w:t>
      </w:r>
      <w:r>
        <w:rPr>
          <w:rFonts w:hint="eastAsia" w:eastAsia="仿宋_GB2312" w:cs="Times New Roman"/>
          <w:color w:val="auto"/>
          <w:sz w:val="32"/>
          <w:szCs w:val="32"/>
          <w:lang w:val="en-US" w:eastAsia="zh-CN"/>
        </w:rPr>
        <w:t>7.7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pPr>
        <w:pStyle w:val="5"/>
        <w:ind w:firstLine="640" w:firstLineChars="200"/>
        <w:rPr>
          <w:rFonts w:hint="default"/>
          <w:lang w:val="en-US" w:eastAsia="zh-CN"/>
        </w:rPr>
      </w:pPr>
      <w:r>
        <w:rPr>
          <w:rFonts w:hint="eastAsia" w:eastAsia="仿宋_GB2312"/>
          <w:bCs/>
          <w:sz w:val="32"/>
          <w:szCs w:val="32"/>
        </w:rPr>
        <w:t>该项目</w:t>
      </w:r>
      <w:r>
        <w:rPr>
          <w:rFonts w:hint="eastAsia" w:eastAsia="仿宋_GB2312"/>
          <w:bCs/>
          <w:sz w:val="32"/>
          <w:szCs w:val="32"/>
          <w:lang w:val="en-US" w:eastAsia="zh-CN"/>
        </w:rPr>
        <w:t>生产设施</w:t>
      </w:r>
      <w:r>
        <w:rPr>
          <w:rFonts w:hint="eastAsia" w:eastAsia="仿宋_GB2312"/>
          <w:bCs/>
          <w:sz w:val="32"/>
          <w:szCs w:val="32"/>
        </w:rPr>
        <w:t>已建成，</w:t>
      </w:r>
      <w:r>
        <w:rPr>
          <w:rFonts w:hint="eastAsia" w:eastAsia="仿宋_GB2312"/>
          <w:bCs/>
          <w:sz w:val="32"/>
          <w:szCs w:val="32"/>
          <w:lang w:val="en-US" w:eastAsia="zh-CN"/>
        </w:rPr>
        <w:t>但</w:t>
      </w:r>
      <w:r>
        <w:rPr>
          <w:rFonts w:hint="default" w:ascii="Times New Roman" w:hAnsi="Times New Roman" w:eastAsia="仿宋_GB2312" w:cs="Times New Roman"/>
          <w:sz w:val="32"/>
          <w:szCs w:val="32"/>
        </w:rPr>
        <w:t>未履行环评审批手续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bCs/>
          <w:sz w:val="32"/>
          <w:szCs w:val="32"/>
        </w:rPr>
        <w:t>关于建设项目未批先建</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rPr>
        <w:t>违法行为</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rPr>
        <w:t>法律适用问题的意见</w:t>
      </w:r>
      <w:r>
        <w:rPr>
          <w:rFonts w:hint="default" w:ascii="Times New Roman" w:hAnsi="Times New Roman" w:eastAsia="仿宋_GB2312" w:cs="Times New Roman"/>
          <w:sz w:val="32"/>
          <w:szCs w:val="32"/>
        </w:rPr>
        <w:t>》（环政法函〔2018〕31号），</w:t>
      </w:r>
      <w:r>
        <w:rPr>
          <w:rFonts w:hint="eastAsia" w:eastAsia="仿宋_GB2312" w:cs="Times New Roman"/>
          <w:sz w:val="32"/>
          <w:szCs w:val="32"/>
          <w:lang w:eastAsia="zh-CN"/>
        </w:rPr>
        <w:t>你公司</w:t>
      </w:r>
      <w:r>
        <w:rPr>
          <w:rFonts w:hint="default" w:ascii="Times New Roman" w:hAnsi="Times New Roman" w:eastAsia="仿宋_GB2312" w:cs="Times New Roman"/>
          <w:sz w:val="32"/>
          <w:szCs w:val="32"/>
        </w:rPr>
        <w:t>委托编制了环境影响报告，</w:t>
      </w:r>
      <w:r>
        <w:rPr>
          <w:rFonts w:hint="eastAsia" w:eastAsia="仿宋_GB2312" w:cs="Times New Roman"/>
          <w:sz w:val="32"/>
          <w:szCs w:val="32"/>
          <w:lang w:eastAsia="zh-CN"/>
        </w:rPr>
        <w:t>现</w:t>
      </w:r>
      <w:r>
        <w:rPr>
          <w:rFonts w:hint="default" w:ascii="Times New Roman" w:hAnsi="Times New Roman" w:eastAsia="仿宋_GB2312" w:cs="Times New Roman"/>
          <w:sz w:val="32"/>
          <w:szCs w:val="32"/>
        </w:rPr>
        <w:t>报送我局审查。</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eastAsia="仿宋_GB2312"/>
          <w:color w:val="auto"/>
          <w:sz w:val="32"/>
          <w:szCs w:val="32"/>
        </w:rPr>
      </w:pPr>
      <w:r>
        <w:rPr>
          <w:rFonts w:hint="eastAsia" w:ascii="Times New Roman" w:hAnsi="Times New Roman" w:eastAsia="仿宋_GB2312" w:cs="Times New Roman"/>
          <w:color w:val="auto"/>
          <w:sz w:val="32"/>
          <w:szCs w:val="32"/>
          <w:lang w:val="en-US" w:eastAsia="zh-CN"/>
        </w:rPr>
        <w:t>2022年</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0日至</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6日，</w:t>
      </w:r>
      <w:r>
        <w:rPr>
          <w:rFonts w:hint="eastAsia" w:eastAsia="仿宋_GB2312"/>
          <w:color w:val="auto"/>
          <w:sz w:val="32"/>
          <w:szCs w:val="32"/>
          <w:lang w:val="en-US" w:eastAsia="zh-CN"/>
        </w:rPr>
        <w:t>我局将该项目环评的受理情况进行了公示</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日至</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日，</w:t>
      </w:r>
      <w:r>
        <w:rPr>
          <w:rFonts w:hint="eastAsia" w:eastAsia="仿宋_GB2312"/>
          <w:color w:val="auto"/>
          <w:sz w:val="32"/>
          <w:szCs w:val="32"/>
          <w:lang w:val="en-US" w:eastAsia="zh-CN"/>
        </w:rPr>
        <w:t>将该项目的环评拟批复情况进行了公示；根据公众反馈意见</w:t>
      </w:r>
      <w:r>
        <w:rPr>
          <w:rFonts w:eastAsia="仿宋_GB2312"/>
          <w:color w:val="auto"/>
          <w:sz w:val="32"/>
          <w:szCs w:val="32"/>
        </w:rPr>
        <w:t>情况及环评报告结论，在严格落实环评报告所提出的各项污染防治措施、确保各类污染物稳定达标的前提下，该</w:t>
      </w:r>
      <w:r>
        <w:rPr>
          <w:rFonts w:hint="eastAsia" w:eastAsia="仿宋_GB2312"/>
          <w:color w:val="auto"/>
          <w:sz w:val="32"/>
          <w:szCs w:val="32"/>
          <w:lang w:eastAsia="zh-CN"/>
        </w:rPr>
        <w:t>项目</w:t>
      </w:r>
      <w:r>
        <w:rPr>
          <w:rFonts w:hint="eastAsia" w:eastAsia="仿宋_GB2312"/>
          <w:color w:val="auto"/>
          <w:sz w:val="32"/>
          <w:szCs w:val="32"/>
        </w:rPr>
        <w:t>具备环境可行性</w:t>
      </w:r>
      <w:r>
        <w:rPr>
          <w:rFonts w:eastAsia="仿宋_GB2312"/>
          <w:color w:val="auto"/>
          <w:sz w:val="32"/>
          <w:szCs w:val="32"/>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eastAsia="仿宋_GB2312"/>
          <w:color w:val="auto"/>
          <w:sz w:val="32"/>
          <w:szCs w:val="32"/>
        </w:rPr>
      </w:pPr>
      <w:r>
        <w:rPr>
          <w:rFonts w:eastAsia="仿宋_GB2312"/>
          <w:color w:val="auto"/>
          <w:sz w:val="32"/>
          <w:szCs w:val="32"/>
        </w:rPr>
        <w:t>二、你</w:t>
      </w:r>
      <w:r>
        <w:rPr>
          <w:rFonts w:hint="eastAsia" w:eastAsia="仿宋_GB2312"/>
          <w:color w:val="auto"/>
          <w:sz w:val="32"/>
          <w:szCs w:val="32"/>
        </w:rPr>
        <w:t>公司</w:t>
      </w:r>
      <w:r>
        <w:rPr>
          <w:rFonts w:eastAsia="仿宋_GB2312"/>
          <w:color w:val="auto"/>
          <w:sz w:val="32"/>
          <w:szCs w:val="32"/>
        </w:rPr>
        <w:t>应重点做好以下工作：</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1.治理设施安装期间要合理安排施工时间，加强对高噪声机械的管理。</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2.机制砂和石粉生产线：</w:t>
      </w:r>
      <w:r>
        <w:rPr>
          <w:rFonts w:hint="default" w:ascii="Times New Roman" w:hAnsi="Times New Roman" w:eastAsia="仿宋_GB2312" w:cs="Times New Roman"/>
          <w:color w:val="auto"/>
          <w:sz w:val="32"/>
          <w:szCs w:val="32"/>
          <w:lang w:val="en-US" w:eastAsia="zh-CN"/>
        </w:rPr>
        <w:t>破碎、筛分、风选、传送工序</w:t>
      </w:r>
      <w:r>
        <w:rPr>
          <w:rFonts w:hint="eastAsia" w:ascii="Times New Roman" w:hAnsi="Times New Roman" w:eastAsia="仿宋_GB2312" w:cs="Times New Roman"/>
          <w:color w:val="auto"/>
          <w:sz w:val="32"/>
          <w:szCs w:val="32"/>
          <w:lang w:val="en-US" w:eastAsia="zh-CN"/>
        </w:rPr>
        <w:t>产生的粉尘由集气管道引至</w:t>
      </w:r>
      <w:r>
        <w:rPr>
          <w:rFonts w:hint="default" w:ascii="Times New Roman" w:hAnsi="Times New Roman" w:eastAsia="仿宋_GB2312" w:cs="Times New Roman"/>
          <w:color w:val="auto"/>
          <w:sz w:val="32"/>
          <w:szCs w:val="32"/>
          <w:lang w:val="en-US" w:eastAsia="zh-CN"/>
        </w:rPr>
        <w:t>离线式</w:t>
      </w:r>
      <w:r>
        <w:rPr>
          <w:rFonts w:hint="eastAsia" w:ascii="Times New Roman" w:hAnsi="Times New Roman" w:eastAsia="仿宋_GB2312" w:cs="Times New Roman"/>
          <w:color w:val="auto"/>
          <w:sz w:val="32"/>
          <w:szCs w:val="32"/>
          <w:lang w:val="en-US" w:eastAsia="zh-CN"/>
        </w:rPr>
        <w:t>脉冲布袋除尘器（TA001）处理后，经一根37米高的排气筒P1达标排放；石粉筒仓、外售干机制砂筒仓及干粉砂浆用砂筒仓的贮存粉尘分别经各自的仓顶除尘器（TA002、TA004、TA005）处理后，分别由26米高的排气筒P2、P4、P5达标排放</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外售的石粉和干机砂浆在装车</w:t>
      </w:r>
      <w:r>
        <w:rPr>
          <w:rFonts w:hint="eastAsia" w:eastAsia="仿宋_GB2312" w:cs="Times New Roman"/>
          <w:color w:val="auto"/>
          <w:sz w:val="32"/>
          <w:szCs w:val="32"/>
          <w:lang w:val="en-US" w:eastAsia="zh-CN"/>
        </w:rPr>
        <w:t>过程中</w:t>
      </w:r>
      <w:r>
        <w:rPr>
          <w:rFonts w:hint="eastAsia" w:ascii="Times New Roman" w:hAnsi="Times New Roman" w:eastAsia="仿宋_GB2312" w:cs="Times New Roman"/>
          <w:color w:val="auto"/>
          <w:sz w:val="32"/>
          <w:szCs w:val="32"/>
          <w:lang w:val="en-US" w:eastAsia="zh-CN"/>
        </w:rPr>
        <w:t>产生的粉尘分别经脉冲布袋除尘器（TA003、TA006）处理后，分别由15米的高排气筒P3、P6达标排放。</w:t>
      </w:r>
    </w:p>
    <w:p>
      <w:pPr>
        <w:adjustRightInd w:val="0"/>
        <w:snapToGrid w:val="0"/>
        <w:spacing w:line="360" w:lineRule="auto"/>
        <w:ind w:firstLine="640" w:firstLineChars="200"/>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干粉砂浆生</w:t>
      </w:r>
      <w:r>
        <w:rPr>
          <w:rFonts w:hint="eastAsia" w:ascii="Times New Roman" w:hAnsi="Times New Roman" w:eastAsia="仿宋_GB2312" w:cs="Times New Roman"/>
          <w:color w:val="auto"/>
          <w:sz w:val="32"/>
          <w:szCs w:val="32"/>
          <w:lang w:val="en-US" w:eastAsia="zh-CN"/>
        </w:rPr>
        <w:t>产线：</w:t>
      </w:r>
      <w:r>
        <w:rPr>
          <w:rFonts w:hint="default" w:ascii="Times New Roman" w:hAnsi="Times New Roman" w:eastAsia="仿宋_GB2312" w:cs="Times New Roman"/>
          <w:color w:val="auto"/>
          <w:sz w:val="32"/>
          <w:szCs w:val="32"/>
          <w:lang w:val="en-US" w:eastAsia="zh-CN"/>
        </w:rPr>
        <w:t>筒仓进料过程中产生的粉尘</w:t>
      </w:r>
      <w:r>
        <w:rPr>
          <w:rFonts w:hint="eastAsia" w:ascii="Times New Roman" w:hAnsi="Times New Roman" w:eastAsia="仿宋_GB2312" w:cs="Times New Roman"/>
          <w:color w:val="auto"/>
          <w:sz w:val="32"/>
          <w:szCs w:val="32"/>
          <w:lang w:val="en-US" w:eastAsia="zh-CN"/>
        </w:rPr>
        <w:t>经集气管道引至</w:t>
      </w:r>
      <w:r>
        <w:rPr>
          <w:rFonts w:hint="default" w:ascii="Times New Roman" w:hAnsi="Times New Roman" w:eastAsia="仿宋_GB2312" w:cs="Times New Roman"/>
          <w:color w:val="auto"/>
          <w:sz w:val="32"/>
          <w:szCs w:val="32"/>
          <w:lang w:val="en-US" w:eastAsia="zh-CN"/>
        </w:rPr>
        <w:t>脉冲式布袋除尘器</w:t>
      </w:r>
      <w:r>
        <w:rPr>
          <w:rFonts w:hint="eastAsia" w:ascii="Times New Roman" w:hAnsi="Times New Roman" w:eastAsia="仿宋_GB2312" w:cs="Times New Roman"/>
          <w:color w:val="auto"/>
          <w:sz w:val="32"/>
          <w:szCs w:val="32"/>
          <w:lang w:val="en-US" w:eastAsia="zh-CN"/>
        </w:rPr>
        <w:t>（TA007）</w:t>
      </w:r>
      <w:r>
        <w:rPr>
          <w:rFonts w:hint="default" w:ascii="Times New Roman" w:hAnsi="Times New Roman" w:eastAsia="仿宋_GB2312" w:cs="Times New Roman"/>
          <w:color w:val="auto"/>
          <w:sz w:val="32"/>
          <w:szCs w:val="32"/>
          <w:lang w:val="en-US" w:eastAsia="zh-CN"/>
        </w:rPr>
        <w:t>收集处理后，经一根35</w:t>
      </w:r>
      <w:r>
        <w:rPr>
          <w:rFonts w:hint="eastAsia" w:ascii="Times New Roman" w:hAnsi="Times New Roman" w:eastAsia="仿宋_GB2312" w:cs="Times New Roman"/>
          <w:color w:val="auto"/>
          <w:sz w:val="32"/>
          <w:szCs w:val="32"/>
          <w:lang w:val="en-US" w:eastAsia="zh-CN"/>
        </w:rPr>
        <w:t>米</w:t>
      </w:r>
      <w:r>
        <w:rPr>
          <w:rFonts w:hint="default" w:ascii="Times New Roman" w:hAnsi="Times New Roman" w:eastAsia="仿宋_GB2312" w:cs="Times New Roman"/>
          <w:color w:val="auto"/>
          <w:sz w:val="32"/>
          <w:szCs w:val="32"/>
          <w:lang w:val="en-US" w:eastAsia="zh-CN"/>
        </w:rPr>
        <w:t>高</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排气筒P</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达标排放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外加剂大仓</w:t>
      </w:r>
      <w:r>
        <w:rPr>
          <w:rFonts w:hint="eastAsia" w:ascii="Times New Roman" w:hAnsi="Times New Roman" w:eastAsia="仿宋_GB2312" w:cs="Times New Roman"/>
          <w:color w:val="auto"/>
          <w:sz w:val="32"/>
          <w:szCs w:val="32"/>
          <w:lang w:val="en-US" w:eastAsia="zh-CN"/>
        </w:rPr>
        <w:t>输送</w:t>
      </w:r>
      <w:r>
        <w:rPr>
          <w:rFonts w:hint="default" w:ascii="Times New Roman" w:hAnsi="Times New Roman" w:eastAsia="仿宋_GB2312" w:cs="Times New Roman"/>
          <w:color w:val="auto"/>
          <w:sz w:val="32"/>
          <w:szCs w:val="32"/>
          <w:lang w:val="en-US" w:eastAsia="zh-CN"/>
        </w:rPr>
        <w:t>粉尘</w:t>
      </w:r>
      <w:r>
        <w:rPr>
          <w:rFonts w:hint="eastAsia" w:ascii="Times New Roman" w:hAnsi="Times New Roman" w:eastAsia="仿宋_GB2312" w:cs="Times New Roman"/>
          <w:color w:val="auto"/>
          <w:sz w:val="32"/>
          <w:szCs w:val="32"/>
          <w:lang w:val="en-US" w:eastAsia="zh-CN"/>
        </w:rPr>
        <w:t>经仓顶除尘器（TA008）处理后，由一根22米高的排气筒P8达标排放；</w:t>
      </w:r>
      <w:r>
        <w:rPr>
          <w:rFonts w:hint="default" w:ascii="Times New Roman" w:hAnsi="Times New Roman" w:eastAsia="仿宋_GB2312" w:cs="Times New Roman"/>
          <w:color w:val="auto"/>
          <w:sz w:val="32"/>
          <w:szCs w:val="32"/>
          <w:lang w:val="en-US" w:eastAsia="zh-CN"/>
        </w:rPr>
        <w:t>计量、传送、搅拌、散装外售装车等工序产生的粉尘经脉冲布袋除尘器</w:t>
      </w:r>
      <w:r>
        <w:rPr>
          <w:rFonts w:hint="eastAsia" w:ascii="Times New Roman" w:hAnsi="Times New Roman" w:eastAsia="仿宋_GB2312" w:cs="Times New Roman"/>
          <w:color w:val="auto"/>
          <w:sz w:val="32"/>
          <w:szCs w:val="32"/>
          <w:lang w:val="en-US" w:eastAsia="zh-CN"/>
        </w:rPr>
        <w:t>（TA009）</w:t>
      </w:r>
      <w:r>
        <w:rPr>
          <w:rFonts w:hint="default" w:ascii="Times New Roman" w:hAnsi="Times New Roman" w:eastAsia="仿宋_GB2312" w:cs="Times New Roman"/>
          <w:color w:val="auto"/>
          <w:sz w:val="32"/>
          <w:szCs w:val="32"/>
          <w:lang w:val="en-US" w:eastAsia="zh-CN"/>
        </w:rPr>
        <w:t>处理后，经一根3</w:t>
      </w:r>
      <w:r>
        <w:rPr>
          <w:rFonts w:hint="eastAsia" w:ascii="Times New Roman" w:hAnsi="Times New Roman" w:eastAsia="仿宋_GB2312" w:cs="Times New Roman"/>
          <w:color w:val="auto"/>
          <w:sz w:val="32"/>
          <w:szCs w:val="32"/>
          <w:lang w:val="en-US" w:eastAsia="zh-CN"/>
        </w:rPr>
        <w:t>7米高的</w:t>
      </w:r>
      <w:r>
        <w:rPr>
          <w:rFonts w:hint="default" w:ascii="Times New Roman" w:hAnsi="Times New Roman" w:eastAsia="仿宋_GB2312" w:cs="Times New Roman"/>
          <w:color w:val="auto"/>
          <w:sz w:val="32"/>
          <w:szCs w:val="32"/>
          <w:lang w:val="en-US" w:eastAsia="zh-CN"/>
        </w:rPr>
        <w:t>排气筒P</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达标排放；成品包装</w:t>
      </w:r>
      <w:r>
        <w:rPr>
          <w:rFonts w:hint="eastAsia" w:ascii="Times New Roman" w:hAnsi="Times New Roman" w:eastAsia="仿宋_GB2312" w:cs="Times New Roman"/>
          <w:color w:val="auto"/>
          <w:sz w:val="32"/>
          <w:szCs w:val="32"/>
          <w:lang w:val="en-US" w:eastAsia="zh-CN"/>
        </w:rPr>
        <w:t>、贮存成品外售粉尘</w:t>
      </w:r>
      <w:r>
        <w:rPr>
          <w:rFonts w:hint="default" w:ascii="Times New Roman" w:hAnsi="Times New Roman" w:eastAsia="仿宋_GB2312" w:cs="Times New Roman"/>
          <w:color w:val="auto"/>
          <w:sz w:val="32"/>
          <w:szCs w:val="32"/>
          <w:lang w:val="en-US" w:eastAsia="zh-CN"/>
        </w:rPr>
        <w:t>等工序产生的粉尘经脉冲布袋除尘器</w:t>
      </w:r>
      <w:r>
        <w:rPr>
          <w:rFonts w:hint="eastAsia" w:ascii="Times New Roman" w:hAnsi="Times New Roman" w:eastAsia="仿宋_GB2312" w:cs="Times New Roman"/>
          <w:color w:val="auto"/>
          <w:sz w:val="32"/>
          <w:szCs w:val="32"/>
          <w:lang w:val="en-US" w:eastAsia="zh-CN"/>
        </w:rPr>
        <w:t>（TA010）</w:t>
      </w:r>
      <w:r>
        <w:rPr>
          <w:rFonts w:hint="default" w:ascii="Times New Roman" w:hAnsi="Times New Roman" w:eastAsia="仿宋_GB2312" w:cs="Times New Roman"/>
          <w:color w:val="auto"/>
          <w:sz w:val="32"/>
          <w:szCs w:val="32"/>
          <w:lang w:val="en-US" w:eastAsia="zh-CN"/>
        </w:rPr>
        <w:t>处理后，经一根</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米高的</w:t>
      </w:r>
      <w:r>
        <w:rPr>
          <w:rFonts w:hint="default" w:ascii="Times New Roman" w:hAnsi="Times New Roman" w:eastAsia="仿宋_GB2312" w:cs="Times New Roman"/>
          <w:color w:val="auto"/>
          <w:sz w:val="32"/>
          <w:szCs w:val="32"/>
          <w:lang w:val="en-US" w:eastAsia="zh-CN"/>
        </w:rPr>
        <w:t>排气筒P</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达标排放</w:t>
      </w:r>
      <w:r>
        <w:rPr>
          <w:rFonts w:hint="eastAsia" w:ascii="Times New Roman" w:hAnsi="Times New Roman" w:eastAsia="仿宋_GB2312" w:cs="Times New Roman"/>
          <w:color w:val="auto"/>
          <w:sz w:val="32"/>
          <w:szCs w:val="32"/>
          <w:lang w:val="en-US" w:eastAsia="zh-CN"/>
        </w:rPr>
        <w:t>。</w:t>
      </w:r>
    </w:p>
    <w:p>
      <w:pPr>
        <w:adjustRightInd w:val="0"/>
        <w:snapToGrid w:val="0"/>
        <w:spacing w:line="360" w:lineRule="auto"/>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水泥构件</w:t>
      </w:r>
      <w:r>
        <w:rPr>
          <w:rFonts w:hint="default" w:ascii="Times New Roman" w:hAnsi="Times New Roman" w:eastAsia="仿宋_GB2312" w:cs="Times New Roman"/>
          <w:color w:val="auto"/>
          <w:sz w:val="32"/>
          <w:szCs w:val="32"/>
          <w:lang w:val="en-US" w:eastAsia="zh-CN"/>
        </w:rPr>
        <w:t>生产线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筒仓进料粉尘</w:t>
      </w:r>
      <w:r>
        <w:rPr>
          <w:rFonts w:hint="eastAsia" w:ascii="Times New Roman" w:hAnsi="Times New Roman" w:eastAsia="仿宋_GB2312" w:cs="Times New Roman"/>
          <w:color w:val="auto"/>
          <w:sz w:val="32"/>
          <w:szCs w:val="32"/>
          <w:lang w:val="en-US" w:eastAsia="zh-CN"/>
        </w:rPr>
        <w:t>分别</w:t>
      </w:r>
      <w:r>
        <w:rPr>
          <w:rFonts w:hint="default" w:ascii="Times New Roman" w:hAnsi="Times New Roman" w:eastAsia="仿宋_GB2312" w:cs="Times New Roman"/>
          <w:color w:val="auto"/>
          <w:sz w:val="32"/>
          <w:szCs w:val="32"/>
          <w:lang w:val="en-US" w:eastAsia="zh-CN"/>
        </w:rPr>
        <w:t>经</w:t>
      </w:r>
      <w:r>
        <w:rPr>
          <w:rFonts w:hint="eastAsia" w:ascii="Times New Roman" w:hAnsi="Times New Roman" w:eastAsia="仿宋_GB2312" w:cs="Times New Roman"/>
          <w:color w:val="auto"/>
          <w:sz w:val="32"/>
          <w:szCs w:val="32"/>
          <w:lang w:val="en-US" w:eastAsia="zh-CN"/>
        </w:rPr>
        <w:t>相应的集气管道引至</w:t>
      </w:r>
      <w:r>
        <w:rPr>
          <w:rFonts w:hint="default" w:ascii="Times New Roman" w:hAnsi="Times New Roman" w:eastAsia="仿宋_GB2312" w:cs="Times New Roman"/>
          <w:color w:val="auto"/>
          <w:sz w:val="32"/>
          <w:szCs w:val="32"/>
          <w:lang w:val="en-US" w:eastAsia="zh-CN"/>
        </w:rPr>
        <w:t>外接脉冲式布袋除尘器</w:t>
      </w:r>
      <w:r>
        <w:rPr>
          <w:rFonts w:hint="eastAsia" w:ascii="Times New Roman" w:hAnsi="Times New Roman" w:eastAsia="仿宋_GB2312" w:cs="Times New Roman"/>
          <w:color w:val="auto"/>
          <w:sz w:val="32"/>
          <w:szCs w:val="32"/>
          <w:lang w:val="en-US" w:eastAsia="zh-CN"/>
        </w:rPr>
        <w:t>（TA011、TA012）</w:t>
      </w:r>
      <w:r>
        <w:rPr>
          <w:rFonts w:hint="default" w:ascii="Times New Roman" w:hAnsi="Times New Roman" w:eastAsia="仿宋_GB2312" w:cs="Times New Roman"/>
          <w:color w:val="auto"/>
          <w:sz w:val="32"/>
          <w:szCs w:val="32"/>
          <w:lang w:val="en-US" w:eastAsia="zh-CN"/>
        </w:rPr>
        <w:t>处理后，</w:t>
      </w:r>
      <w:r>
        <w:rPr>
          <w:rFonts w:hint="eastAsia"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lang w:val="en-US" w:eastAsia="zh-CN"/>
        </w:rPr>
        <w:t>一根20</w:t>
      </w:r>
      <w:r>
        <w:rPr>
          <w:rFonts w:hint="eastAsia" w:ascii="Times New Roman" w:hAnsi="Times New Roman" w:eastAsia="仿宋_GB2312" w:cs="Times New Roman"/>
          <w:color w:val="auto"/>
          <w:sz w:val="32"/>
          <w:szCs w:val="32"/>
          <w:lang w:val="en-US" w:eastAsia="zh-CN"/>
        </w:rPr>
        <w:t>米高的</w:t>
      </w:r>
      <w:r>
        <w:rPr>
          <w:rFonts w:hint="default" w:ascii="Times New Roman" w:hAnsi="Times New Roman" w:eastAsia="仿宋_GB2312" w:cs="Times New Roman"/>
          <w:color w:val="auto"/>
          <w:sz w:val="32"/>
          <w:szCs w:val="32"/>
          <w:lang w:val="en-US" w:eastAsia="zh-CN"/>
        </w:rPr>
        <w:t>排气筒P</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达标排放。</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石料碎屑、石渣等装卸、储存均在封闭的库房内，并通过雾炮和水喷淋设施进一步降尘，确保颗粒物无组织排放厂界达标</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当废气治理设施发生故障时，应及时调整生产，停止产尘的生产工序，减少污染物的排放。</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ascii="Times New Roman" w:hAnsi="Times New Roman" w:eastAsia="仿宋_GB2312" w:cs="Times New Roman"/>
          <w:color w:val="0000FF"/>
          <w:kern w:val="2"/>
          <w:sz w:val="32"/>
          <w:szCs w:val="32"/>
          <w:lang w:val="en-US" w:eastAsia="zh-CN" w:bidi="ar-SA"/>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车辆冲洗废水、罐车和搅拌机清洗水经沉淀后回用，不外排；生活污水经化粪池沉淀后定期清掏</w:t>
      </w:r>
      <w:r>
        <w:rPr>
          <w:rFonts w:hint="eastAsia" w:eastAsia="仿宋_GB2312"/>
          <w:bCs/>
          <w:color w:val="000000"/>
          <w:sz w:val="32"/>
          <w:szCs w:val="32"/>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4.选用低噪声设备，并采取隔声降噪措施，保证厂界噪声达标。</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做好各类固体废物的收集、贮存、运输和处置，做到资源化、减量化、无害化。</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eastAsia="仿宋_GB2312"/>
          <w:color w:val="0000FF"/>
          <w:sz w:val="32"/>
          <w:szCs w:val="32"/>
          <w:lang w:val="en-US" w:eastAsia="zh-CN"/>
        </w:rPr>
      </w:pPr>
      <w:r>
        <w:rPr>
          <w:rFonts w:hint="eastAsia" w:ascii="Times New Roman" w:hAnsi="Times New Roman" w:eastAsia="仿宋_GB2312" w:cs="Times New Roman"/>
          <w:sz w:val="32"/>
          <w:szCs w:val="32"/>
          <w:lang w:val="en-US" w:eastAsia="zh-CN"/>
        </w:rPr>
        <w:t>含油沾染物、废矿物油、废油桶</w:t>
      </w:r>
      <w:r>
        <w:rPr>
          <w:rFonts w:hint="default" w:ascii="Times New Roman" w:hAnsi="Times New Roman" w:eastAsia="仿宋_GB2312" w:cs="Times New Roman"/>
          <w:sz w:val="32"/>
          <w:szCs w:val="32"/>
          <w:lang w:val="en-US" w:eastAsia="zh-CN"/>
        </w:rPr>
        <w:t>等危险废物须按照《危险废物收集贮存运输技术规范》（HJ2025-2012）进行收集、贮存及运输，并交由有相应资质的单位进行处理、处置；危险废物暂存库</w:t>
      </w:r>
      <w:r>
        <w:rPr>
          <w:rFonts w:hint="eastAsia" w:ascii="Times New Roman" w:hAnsi="Times New Roman" w:eastAsia="仿宋_GB2312" w:cs="Times New Roman"/>
          <w:sz w:val="32"/>
          <w:szCs w:val="32"/>
          <w:lang w:val="en-US" w:eastAsia="zh-CN"/>
        </w:rPr>
        <w:t>应按照</w:t>
      </w:r>
      <w:r>
        <w:rPr>
          <w:rFonts w:hint="default" w:ascii="Times New Roman" w:hAnsi="Times New Roman" w:eastAsia="仿宋_GB2312" w:cs="Times New Roman"/>
          <w:sz w:val="32"/>
          <w:szCs w:val="32"/>
          <w:lang w:val="en-US" w:eastAsia="zh-CN"/>
        </w:rPr>
        <w:t>《危险废物贮存污染控制标准》（GB18597-2001）进行</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和管理。</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color w:val="auto"/>
          <w:sz w:val="32"/>
          <w:szCs w:val="32"/>
          <w:lang w:val="en-US" w:eastAsia="zh-CN"/>
        </w:rPr>
        <w:t>外加剂包装袋交</w:t>
      </w:r>
      <w:r>
        <w:rPr>
          <w:rFonts w:hint="eastAsia" w:ascii="Times New Roman" w:hAnsi="Times New Roman" w:eastAsia="仿宋_GB2312" w:cs="Times New Roman"/>
          <w:color w:val="auto"/>
          <w:sz w:val="32"/>
          <w:szCs w:val="32"/>
          <w:lang w:val="en-US" w:eastAsia="zh-CN"/>
        </w:rPr>
        <w:t>物资回收部门；</w:t>
      </w:r>
      <w:r>
        <w:rPr>
          <w:rFonts w:hint="eastAsia" w:eastAsia="仿宋_GB2312"/>
          <w:color w:val="auto"/>
          <w:sz w:val="32"/>
          <w:szCs w:val="32"/>
          <w:lang w:val="en-US" w:eastAsia="zh-CN"/>
        </w:rPr>
        <w:t>废保鲜膜、洗车台的沉淀物由环卫部门清运</w:t>
      </w:r>
      <w:r>
        <w:rPr>
          <w:rFonts w:hint="eastAsia" w:ascii="Times New Roman" w:hAnsi="Times New Roman" w:eastAsia="仿宋_GB2312" w:cs="Times New Roman"/>
          <w:color w:val="auto"/>
          <w:sz w:val="32"/>
          <w:szCs w:val="32"/>
          <w:lang w:val="en-US" w:eastAsia="zh-CN"/>
        </w:rPr>
        <w:t>；除尘灰、分离出的砂石</w:t>
      </w:r>
      <w:r>
        <w:rPr>
          <w:rFonts w:hint="eastAsia"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沉淀池</w:t>
      </w:r>
      <w:r>
        <w:rPr>
          <w:rFonts w:hint="eastAsia"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沉淀物</w:t>
      </w:r>
      <w:r>
        <w:rPr>
          <w:rFonts w:hint="eastAsia" w:eastAsia="仿宋_GB2312" w:cs="Times New Roman"/>
          <w:color w:val="auto"/>
          <w:sz w:val="32"/>
          <w:szCs w:val="32"/>
          <w:lang w:val="en-US" w:eastAsia="zh-CN"/>
        </w:rPr>
        <w:t>均</w:t>
      </w:r>
      <w:r>
        <w:rPr>
          <w:rFonts w:hint="eastAsia" w:ascii="Times New Roman" w:hAnsi="Times New Roman" w:eastAsia="仿宋_GB2312" w:cs="Times New Roman"/>
          <w:color w:val="auto"/>
          <w:sz w:val="32"/>
          <w:szCs w:val="32"/>
          <w:lang w:val="en-US" w:eastAsia="zh-CN"/>
        </w:rPr>
        <w:t>回用于</w:t>
      </w:r>
      <w:r>
        <w:rPr>
          <w:rFonts w:hint="eastAsia" w:eastAsia="仿宋_GB2312"/>
          <w:color w:val="auto"/>
          <w:sz w:val="32"/>
          <w:szCs w:val="32"/>
          <w:lang w:val="en-US" w:eastAsia="zh-CN"/>
        </w:rPr>
        <w:t>生产</w:t>
      </w:r>
      <w:r>
        <w:rPr>
          <w:rFonts w:hint="default"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6.认真落实《天津市涉气工业污染源自动监控系统建设工作方案》的要求，并做好排污口规范化工作：</w:t>
      </w:r>
      <w:r>
        <w:rPr>
          <w:rFonts w:hint="default" w:ascii="Times New Roman" w:hAnsi="Times New Roman" w:eastAsia="仿宋_GB2312" w:cs="Times New Roman"/>
          <w:color w:val="auto"/>
          <w:sz w:val="32"/>
          <w:szCs w:val="32"/>
          <w:lang w:val="en-US" w:eastAsia="zh-CN"/>
        </w:rPr>
        <w:t>设置规范的废气采样点，悬挂符合要求的标识牌</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7.强化各项环境风险防范措施，并</w:t>
      </w:r>
      <w:r>
        <w:rPr>
          <w:rFonts w:hint="default" w:ascii="Times New Roman" w:hAnsi="Times New Roman" w:eastAsia="仿宋_GB2312" w:cs="Times New Roman"/>
          <w:color w:val="auto"/>
          <w:sz w:val="32"/>
          <w:szCs w:val="32"/>
          <w:lang w:val="en-US" w:eastAsia="zh-CN"/>
        </w:rPr>
        <w:t>按照《</w:t>
      </w:r>
      <w:r>
        <w:rPr>
          <w:rFonts w:hint="eastAsia" w:ascii="Times New Roman" w:hAnsi="Times New Roman" w:eastAsia="仿宋_GB2312" w:cs="Times New Roman"/>
          <w:color w:val="auto"/>
          <w:sz w:val="32"/>
          <w:szCs w:val="32"/>
          <w:lang w:val="en-US" w:eastAsia="zh-CN"/>
        </w:rPr>
        <w:t>企业事业单位突发环境事件应急预案备案管理办法（试行）</w:t>
      </w:r>
      <w:r>
        <w:rPr>
          <w:rFonts w:hint="default" w:ascii="Times New Roman" w:hAnsi="Times New Roman" w:eastAsia="仿宋_GB2312" w:cs="Times New Roman"/>
          <w:color w:val="auto"/>
          <w:sz w:val="32"/>
          <w:szCs w:val="32"/>
          <w:lang w:val="en-US" w:eastAsia="zh-CN"/>
        </w:rPr>
        <w:t>》编制环境风险应急预案，交区</w:t>
      </w:r>
      <w:r>
        <w:rPr>
          <w:rFonts w:hint="eastAsia" w:ascii="Times New Roman" w:hAnsi="Times New Roman" w:eastAsia="仿宋_GB2312" w:cs="Times New Roman"/>
          <w:color w:val="auto"/>
          <w:sz w:val="32"/>
          <w:szCs w:val="32"/>
          <w:lang w:val="en-US" w:eastAsia="zh-CN"/>
        </w:rPr>
        <w:t>生态环境局</w:t>
      </w:r>
      <w:r>
        <w:rPr>
          <w:rFonts w:hint="default" w:ascii="Times New Roman" w:hAnsi="Times New Roman" w:eastAsia="仿宋_GB2312" w:cs="Times New Roman"/>
          <w:color w:val="auto"/>
          <w:sz w:val="32"/>
          <w:szCs w:val="32"/>
          <w:lang w:val="en-US" w:eastAsia="zh-CN"/>
        </w:rPr>
        <w:t>备案。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rPr>
        <w:t>三</w:t>
      </w:r>
      <w:r>
        <w:rPr>
          <w:rFonts w:hint="default" w:eastAsia="仿宋_GB2312"/>
          <w:color w:val="auto"/>
          <w:sz w:val="32"/>
          <w:szCs w:val="32"/>
        </w:rPr>
        <w:t>、</w:t>
      </w:r>
      <w:r>
        <w:rPr>
          <w:rFonts w:hint="default" w:ascii="Times New Roman" w:hAnsi="Times New Roman" w:eastAsia="仿宋_GB2312" w:cs="Times New Roman"/>
          <w:sz w:val="32"/>
          <w:szCs w:val="32"/>
        </w:rPr>
        <w:t>项目不</w:t>
      </w:r>
      <w:r>
        <w:rPr>
          <w:rFonts w:hint="eastAsia" w:ascii="Times New Roman" w:hAnsi="Times New Roman" w:eastAsia="仿宋_GB2312" w:cs="Times New Roman"/>
          <w:sz w:val="32"/>
          <w:szCs w:val="32"/>
          <w:lang w:val="en-US" w:eastAsia="zh-CN"/>
        </w:rPr>
        <w:t>涉及</w:t>
      </w:r>
      <w:r>
        <w:rPr>
          <w:rFonts w:hint="eastAsia" w:eastAsia="仿宋_GB2312" w:cs="Times New Roman"/>
          <w:sz w:val="32"/>
          <w:szCs w:val="32"/>
          <w:lang w:val="en-US" w:eastAsia="zh-CN"/>
        </w:rPr>
        <w:t>主要</w:t>
      </w:r>
      <w:r>
        <w:rPr>
          <w:rFonts w:hint="default" w:ascii="Times New Roman" w:hAnsi="Times New Roman" w:eastAsia="仿宋_GB2312" w:cs="Times New Roman"/>
          <w:sz w:val="32"/>
          <w:szCs w:val="32"/>
        </w:rPr>
        <w:t>污染物排放总量。</w:t>
      </w:r>
    </w:p>
    <w:p>
      <w:pPr>
        <w:pStyle w:val="14"/>
        <w:keepNext w:val="0"/>
        <w:keepLines w:val="0"/>
        <w:pageBreakBefore w:val="0"/>
        <w:widowControl w:val="0"/>
        <w:kinsoku/>
        <w:wordWrap/>
        <w:overflowPunct/>
        <w:topLinePunct w:val="0"/>
        <w:autoSpaceDE/>
        <w:autoSpaceDN/>
        <w:bidi w:val="0"/>
        <w:snapToGrid/>
        <w:spacing w:line="360" w:lineRule="auto"/>
        <w:ind w:firstLine="662" w:firstLineChars="207"/>
        <w:outlineLvl w:val="9"/>
        <w:rPr>
          <w:rFonts w:hint="default" w:ascii="Times New Roman" w:hAnsi="Times New Roman" w:eastAsia="仿宋_GB2312" w:cs="Times New Roman"/>
          <w:color w:val="auto"/>
          <w:sz w:val="32"/>
          <w:szCs w:val="32"/>
        </w:rPr>
      </w:pPr>
      <w:r>
        <w:rPr>
          <w:rFonts w:hint="eastAsia" w:ascii="仿宋_GB2312" w:eastAsia="仿宋_GB2312"/>
          <w:color w:val="auto"/>
          <w:sz w:val="32"/>
          <w:szCs w:val="32"/>
        </w:rPr>
        <w:t>四、</w:t>
      </w:r>
      <w:r>
        <w:rPr>
          <w:rFonts w:hint="default" w:ascii="Times New Roman" w:hAnsi="Times New Roman" w:eastAsia="仿宋_GB2312" w:cs="Times New Roman"/>
          <w:color w:val="auto"/>
          <w:sz w:val="32"/>
          <w:szCs w:val="32"/>
        </w:rPr>
        <w:t>项目竣工后，按规定的标准和程序开展环境保护验收，经验收合格后方可正式投入</w:t>
      </w:r>
      <w:r>
        <w:rPr>
          <w:rFonts w:hint="default" w:ascii="Times New Roman" w:hAnsi="Times New Roman" w:eastAsia="仿宋_GB2312" w:cs="Times New Roman"/>
          <w:color w:val="auto"/>
          <w:sz w:val="32"/>
          <w:szCs w:val="32"/>
          <w:lang w:val="en-US" w:eastAsia="zh-CN"/>
        </w:rPr>
        <w:t>使用；</w:t>
      </w:r>
      <w:r>
        <w:rPr>
          <w:rFonts w:hint="default" w:ascii="Times New Roman" w:hAnsi="Times New Roman" w:eastAsia="仿宋_GB2312" w:cs="Times New Roman"/>
          <w:color w:val="auto"/>
          <w:sz w:val="32"/>
          <w:szCs w:val="32"/>
          <w:lang w:eastAsia="zh-CN"/>
        </w:rPr>
        <w:t>你公司在</w:t>
      </w:r>
      <w:r>
        <w:rPr>
          <w:rFonts w:hint="eastAsia" w:eastAsia="仿宋_GB2312" w:cs="Times New Roman"/>
          <w:color w:val="auto"/>
          <w:sz w:val="32"/>
          <w:szCs w:val="32"/>
          <w:lang w:val="en-US" w:eastAsia="zh-CN"/>
        </w:rPr>
        <w:t>该项目</w:t>
      </w:r>
      <w:r>
        <w:rPr>
          <w:rFonts w:hint="default" w:ascii="Times New Roman" w:hAnsi="Times New Roman" w:eastAsia="仿宋_GB2312" w:cs="Times New Roman"/>
          <w:color w:val="auto"/>
          <w:sz w:val="32"/>
          <w:szCs w:val="32"/>
          <w:lang w:eastAsia="zh-CN"/>
        </w:rPr>
        <w:t>启动生产设施或者发生实际排污之前，</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eastAsia="zh-CN"/>
        </w:rPr>
        <w:t>按照法律法规要求，做好排污许可管理相关工作；</w:t>
      </w:r>
      <w:r>
        <w:rPr>
          <w:rFonts w:hint="default" w:ascii="Times New Roman" w:hAnsi="Times New Roman" w:eastAsia="仿宋_GB2312" w:cs="Times New Roman"/>
          <w:color w:val="auto"/>
          <w:sz w:val="32"/>
          <w:szCs w:val="32"/>
        </w:rPr>
        <w:t>若项目的性质、规模、地点、生产工艺或防治污染的措施发生重大变动，</w:t>
      </w:r>
      <w:r>
        <w:rPr>
          <w:rFonts w:hint="default" w:ascii="Times New Roman" w:hAnsi="Times New Roman" w:eastAsia="仿宋_GB2312" w:cs="Times New Roman"/>
          <w:color w:val="auto"/>
          <w:sz w:val="32"/>
          <w:szCs w:val="32"/>
          <w:lang w:eastAsia="zh-CN"/>
        </w:rPr>
        <w:t>须</w:t>
      </w:r>
      <w:r>
        <w:rPr>
          <w:rFonts w:hint="default" w:ascii="Times New Roman" w:hAnsi="Times New Roman" w:eastAsia="仿宋_GB2312" w:cs="Times New Roman"/>
          <w:color w:val="auto"/>
          <w:sz w:val="32"/>
          <w:szCs w:val="32"/>
        </w:rPr>
        <w:t>重新报批环境影响评价文件。</w:t>
      </w:r>
    </w:p>
    <w:p>
      <w:pPr>
        <w:pStyle w:val="14"/>
        <w:keepNext w:val="0"/>
        <w:keepLines w:val="0"/>
        <w:pageBreakBefore w:val="0"/>
        <w:widowControl w:val="0"/>
        <w:kinsoku/>
        <w:wordWrap/>
        <w:overflowPunct/>
        <w:topLinePunct w:val="0"/>
        <w:autoSpaceDE/>
        <w:autoSpaceDN/>
        <w:bidi w:val="0"/>
        <w:snapToGrid/>
        <w:spacing w:line="360" w:lineRule="auto"/>
        <w:ind w:firstLine="662" w:firstLineChars="207"/>
        <w:outlineLvl w:val="9"/>
        <w:rPr>
          <w:rFonts w:eastAsia="仿宋_GB2312"/>
          <w:color w:val="auto"/>
          <w:sz w:val="32"/>
          <w:szCs w:val="32"/>
        </w:rPr>
      </w:pPr>
      <w:r>
        <w:rPr>
          <w:rFonts w:hint="eastAsia" w:eastAsia="仿宋_GB2312" w:cs="Times New Roman"/>
          <w:color w:val="auto"/>
          <w:sz w:val="32"/>
          <w:szCs w:val="32"/>
          <w:lang w:val="en-US" w:eastAsia="zh-CN"/>
        </w:rPr>
        <w:t>五、</w:t>
      </w:r>
      <w:r>
        <w:rPr>
          <w:rFonts w:hint="eastAsia" w:eastAsia="仿宋_GB2312"/>
          <w:color w:val="auto"/>
          <w:sz w:val="32"/>
          <w:szCs w:val="32"/>
          <w:lang w:eastAsia="zh-CN"/>
        </w:rPr>
        <w:t>项目</w:t>
      </w:r>
      <w:r>
        <w:rPr>
          <w:rFonts w:hint="eastAsia" w:eastAsia="仿宋_GB2312"/>
          <w:color w:val="auto"/>
          <w:sz w:val="32"/>
          <w:szCs w:val="32"/>
        </w:rPr>
        <w:t>应执行以下标准：</w:t>
      </w:r>
    </w:p>
    <w:p>
      <w:pPr>
        <w:keepNext w:val="0"/>
        <w:keepLines w:val="0"/>
        <w:pageBreakBefore w:val="0"/>
        <w:widowControl w:val="0"/>
        <w:kinsoku/>
        <w:wordWrap/>
        <w:overflowPunct/>
        <w:topLinePunct w:val="0"/>
        <w:autoSpaceDE/>
        <w:autoSpaceDN/>
        <w:bidi w:val="0"/>
        <w:snapToGrid/>
        <w:spacing w:line="360" w:lineRule="auto"/>
        <w:ind w:left="8958" w:leftChars="304" w:hanging="8320" w:hangingChars="2600"/>
        <w:textAlignment w:val="baseline"/>
        <w:outlineLvl w:val="9"/>
        <w:rPr>
          <w:rFonts w:hint="eastAsia" w:eastAsia="仿宋_GB2312"/>
          <w:color w:val="auto"/>
          <w:sz w:val="32"/>
          <w:szCs w:val="32"/>
        </w:rPr>
      </w:pPr>
      <w:r>
        <w:rPr>
          <w:rFonts w:hint="eastAsia" w:eastAsia="仿宋_GB2312"/>
          <w:color w:val="auto"/>
          <w:sz w:val="32"/>
          <w:szCs w:val="32"/>
        </w:rPr>
        <w:t>1.《环境空气质量标准》（GB3095</w:t>
      </w:r>
      <w:r>
        <w:rPr>
          <w:rFonts w:hint="eastAsia" w:eastAsia="仿宋_GB2312"/>
          <w:color w:val="auto"/>
          <w:sz w:val="32"/>
          <w:szCs w:val="32"/>
          <w:lang w:val="en-US" w:eastAsia="zh-CN"/>
        </w:rPr>
        <w:t>-</w:t>
      </w:r>
      <w:r>
        <w:rPr>
          <w:rFonts w:hint="eastAsia" w:eastAsia="仿宋_GB2312"/>
          <w:color w:val="auto"/>
          <w:sz w:val="32"/>
          <w:szCs w:val="32"/>
        </w:rPr>
        <w:t>2012）二级；</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olor w:val="auto"/>
          <w:sz w:val="32"/>
          <w:szCs w:val="32"/>
          <w:lang w:eastAsia="zh-CN"/>
        </w:rPr>
      </w:pPr>
      <w:r>
        <w:rPr>
          <w:rFonts w:hint="eastAsia" w:eastAsia="仿宋_GB2312"/>
          <w:color w:val="auto"/>
          <w:sz w:val="32"/>
          <w:szCs w:val="32"/>
        </w:rPr>
        <w:t>2</w:t>
      </w:r>
      <w:r>
        <w:rPr>
          <w:rFonts w:eastAsia="仿宋_GB2312"/>
          <w:color w:val="auto"/>
          <w:sz w:val="32"/>
          <w:szCs w:val="32"/>
        </w:rPr>
        <w:t>.</w:t>
      </w:r>
      <w:r>
        <w:rPr>
          <w:rFonts w:hint="eastAsia" w:eastAsia="仿宋_GB2312"/>
          <w:color w:val="auto"/>
          <w:sz w:val="32"/>
          <w:szCs w:val="32"/>
        </w:rPr>
        <w:t>《声环境质量标准》（GB3096-2008）</w:t>
      </w:r>
      <w:r>
        <w:rPr>
          <w:rFonts w:hint="eastAsia" w:eastAsia="仿宋_GB2312"/>
          <w:color w:val="auto"/>
          <w:sz w:val="32"/>
          <w:szCs w:val="32"/>
          <w:lang w:val="en-US" w:eastAsia="zh-CN"/>
        </w:rPr>
        <w:t>2类</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eastAsia="仿宋_GB2312"/>
          <w:color w:val="auto"/>
          <w:sz w:val="32"/>
          <w:szCs w:val="32"/>
        </w:rPr>
        <w:t>3</w:t>
      </w:r>
      <w:r>
        <w:rPr>
          <w:rFonts w:eastAsia="仿宋_GB2312"/>
          <w:color w:val="auto"/>
          <w:sz w:val="32"/>
          <w:szCs w:val="32"/>
        </w:rPr>
        <w:t>.《</w:t>
      </w:r>
      <w:r>
        <w:rPr>
          <w:rFonts w:hint="eastAsia" w:eastAsia="仿宋_GB2312"/>
          <w:color w:val="auto"/>
          <w:sz w:val="32"/>
          <w:szCs w:val="32"/>
        </w:rPr>
        <w:t>水泥工业大气污染物排放标准</w:t>
      </w:r>
      <w:r>
        <w:rPr>
          <w:rFonts w:eastAsia="仿宋_GB2312"/>
          <w:color w:val="auto"/>
          <w:sz w:val="32"/>
          <w:szCs w:val="32"/>
        </w:rPr>
        <w:t>》（GB4915-2013）</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4.</w:t>
      </w:r>
      <w:r>
        <w:rPr>
          <w:rFonts w:hint="eastAsia" w:eastAsia="仿宋_GB2312"/>
          <w:sz w:val="32"/>
          <w:szCs w:val="32"/>
          <w:lang w:val="en-US" w:eastAsia="zh-CN"/>
        </w:rPr>
        <w:t>《大气污染物综合排放标准》（</w:t>
      </w:r>
      <w:r>
        <w:rPr>
          <w:rFonts w:hint="eastAsia" w:eastAsia="仿宋_GB2312"/>
          <w:sz w:val="32"/>
          <w:szCs w:val="32"/>
        </w:rPr>
        <w:t>GB</w:t>
      </w:r>
      <w:r>
        <w:rPr>
          <w:rFonts w:hint="eastAsia" w:eastAsia="仿宋_GB2312"/>
          <w:sz w:val="32"/>
          <w:szCs w:val="32"/>
          <w:lang w:val="en-US" w:eastAsia="zh-CN"/>
        </w:rPr>
        <w:t>16297</w:t>
      </w:r>
      <w:r>
        <w:rPr>
          <w:rFonts w:hint="eastAsia" w:eastAsia="仿宋_GB2312"/>
          <w:sz w:val="32"/>
          <w:szCs w:val="32"/>
        </w:rPr>
        <w:t>-</w:t>
      </w:r>
      <w:r>
        <w:rPr>
          <w:rFonts w:hint="eastAsia" w:eastAsia="仿宋_GB2312"/>
          <w:sz w:val="32"/>
          <w:szCs w:val="32"/>
          <w:lang w:val="en-US" w:eastAsia="zh-CN"/>
        </w:rPr>
        <w:t>1996）</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s="Times New Roman"/>
          <w:color w:val="auto"/>
          <w:sz w:val="32"/>
          <w:szCs w:val="32"/>
          <w:lang w:eastAsia="zh-CN"/>
        </w:rPr>
      </w:pPr>
      <w:r>
        <w:rPr>
          <w:rFonts w:hint="eastAsia" w:eastAsia="仿宋_GB2312" w:cs="Times New Roman"/>
          <w:color w:val="auto"/>
          <w:sz w:val="32"/>
          <w:szCs w:val="32"/>
          <w:lang w:val="en-US" w:eastAsia="zh-CN"/>
        </w:rPr>
        <w:t>5.</w:t>
      </w:r>
      <w:r>
        <w:rPr>
          <w:rFonts w:hint="eastAsia" w:eastAsia="仿宋_GB2312"/>
          <w:color w:val="auto"/>
          <w:sz w:val="32"/>
          <w:szCs w:val="32"/>
        </w:rPr>
        <w:t>《工业企业厂界环境噪声排放标准》（GB12348-2008）</w:t>
      </w:r>
      <w:r>
        <w:rPr>
          <w:rFonts w:hint="eastAsia" w:eastAsia="仿宋_GB2312"/>
          <w:color w:val="auto"/>
          <w:sz w:val="32"/>
          <w:szCs w:val="32"/>
          <w:lang w:val="en-US" w:eastAsia="zh-CN"/>
        </w:rPr>
        <w:t>2</w:t>
      </w:r>
      <w:r>
        <w:rPr>
          <w:rFonts w:hint="eastAsia" w:eastAsia="仿宋_GB2312"/>
          <w:color w:val="auto"/>
          <w:sz w:val="32"/>
          <w:szCs w:val="32"/>
        </w:rPr>
        <w:t>类</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《危险废物收集贮存</w:t>
      </w:r>
      <w:r>
        <w:rPr>
          <w:rFonts w:hint="default" w:ascii="Times New Roman" w:hAnsi="Times New Roman" w:eastAsia="仿宋_GB2312" w:cs="Times New Roman"/>
          <w:color w:val="auto"/>
          <w:sz w:val="32"/>
          <w:szCs w:val="32"/>
        </w:rPr>
        <w:t>运输技术规范》（HJ2025-2012）</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30"/>
        <w:textAlignment w:val="baseline"/>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《危险废物贮存污染控制标准》（GB18597-2001）</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30"/>
        <w:textAlignment w:val="baseline"/>
        <w:outlineLvl w:val="9"/>
        <w:rPr>
          <w:rFonts w:hint="eastAsia" w:eastAsia="仿宋_GB2312"/>
          <w:color w:val="auto"/>
          <w:sz w:val="32"/>
          <w:szCs w:val="32"/>
          <w:lang w:eastAsia="zh-CN"/>
        </w:rPr>
      </w:pPr>
      <w:r>
        <w:rPr>
          <w:rFonts w:hint="eastAsia" w:eastAsia="仿宋_GB2312"/>
          <w:color w:val="auto"/>
          <w:sz w:val="32"/>
          <w:szCs w:val="32"/>
          <w:lang w:val="en-US" w:eastAsia="zh-CN"/>
        </w:rPr>
        <w:t>8</w:t>
      </w:r>
      <w:r>
        <w:rPr>
          <w:rFonts w:hint="eastAsia" w:ascii="Times New Roman" w:hAnsi="Times New Roman" w:eastAsia="仿宋_GB2312" w:cs="Times New Roman"/>
          <w:color w:val="auto"/>
          <w:sz w:val="32"/>
          <w:szCs w:val="32"/>
          <w:lang w:val="en-US" w:eastAsia="zh-CN"/>
        </w:rPr>
        <w:t>.《一般工业固体废物贮存和填埋污染控制标准》（</w:t>
      </w:r>
      <w:r>
        <w:rPr>
          <w:rFonts w:hint="default" w:ascii="Times New Roman" w:hAnsi="Times New Roman" w:eastAsia="仿宋_GB2312" w:cs="Times New Roman"/>
          <w:color w:val="auto"/>
          <w:sz w:val="32"/>
          <w:szCs w:val="32"/>
          <w:lang w:val="en-US" w:eastAsia="zh-CN"/>
        </w:rPr>
        <w:t>GB 18599-2020</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30"/>
        <w:textAlignment w:val="baseline"/>
        <w:outlineLvl w:val="9"/>
        <w:rPr>
          <w:rFonts w:hint="eastAsia" w:eastAsia="仿宋_GB2312"/>
          <w:color w:val="auto"/>
          <w:lang w:val="en-US" w:eastAsia="zh-CN"/>
        </w:rPr>
      </w:pPr>
      <w:r>
        <w:rPr>
          <w:rFonts w:hint="eastAsia" w:eastAsia="仿宋_GB2312"/>
          <w:color w:val="auto"/>
          <w:sz w:val="32"/>
          <w:szCs w:val="32"/>
          <w:lang w:val="en-US" w:eastAsia="zh-CN"/>
        </w:rPr>
        <w:t>9.</w:t>
      </w:r>
      <w:r>
        <w:rPr>
          <w:rFonts w:hint="default" w:ascii="Times New Roman" w:hAnsi="Times New Roman" w:eastAsia="仿宋_GB2312" w:cs="Times New Roman"/>
          <w:color w:val="auto"/>
          <w:sz w:val="32"/>
          <w:szCs w:val="32"/>
        </w:rPr>
        <w:t>《建筑施工场界环境噪声排放标准》（GB12523-2011）</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olor w:val="auto"/>
          <w:sz w:val="32"/>
          <w:szCs w:val="32"/>
        </w:rPr>
      </w:pPr>
      <w:r>
        <w:rPr>
          <w:rFonts w:hint="eastAsia" w:eastAsia="仿宋_GB2312"/>
          <w:color w:val="auto"/>
          <w:sz w:val="32"/>
          <w:szCs w:val="32"/>
        </w:rPr>
        <w:t>此复</w:t>
      </w:r>
      <w:r>
        <w:rPr>
          <w:rFonts w:hint="eastAsia" w:eastAsia="仿宋_GB2312"/>
          <w:color w:val="auto"/>
          <w:sz w:val="32"/>
          <w:szCs w:val="32"/>
          <w:lang w:eastAsia="zh-CN"/>
        </w:rPr>
        <w:t>。</w:t>
      </w:r>
    </w:p>
    <w:p>
      <w:pPr>
        <w:pStyle w:val="5"/>
        <w:rPr>
          <w:rFonts w:hint="eastAsia" w:eastAsia="仿宋_GB2312"/>
          <w:color w:val="auto"/>
          <w:sz w:val="32"/>
          <w:szCs w:val="32"/>
        </w:rPr>
      </w:pPr>
    </w:p>
    <w:p>
      <w:pPr>
        <w:rPr>
          <w:rFonts w:hint="eastAsia" w:eastAsia="仿宋_GB2312"/>
          <w:color w:val="auto"/>
          <w:sz w:val="32"/>
          <w:szCs w:val="32"/>
        </w:rPr>
      </w:pPr>
    </w:p>
    <w:p>
      <w:pPr>
        <w:pStyle w:val="5"/>
        <w:rPr>
          <w:rFonts w:hint="eastAsia"/>
        </w:rPr>
      </w:pPr>
    </w:p>
    <w:p>
      <w:pPr>
        <w:keepNext w:val="0"/>
        <w:keepLines w:val="0"/>
        <w:pageBreakBefore w:val="0"/>
        <w:widowControl w:val="0"/>
        <w:kinsoku/>
        <w:wordWrap w:val="0"/>
        <w:overflowPunct/>
        <w:topLinePunct w:val="0"/>
        <w:autoSpaceDE/>
        <w:autoSpaceDN/>
        <w:bidi w:val="0"/>
        <w:snapToGrid/>
        <w:spacing w:line="360" w:lineRule="auto"/>
        <w:jc w:val="right"/>
        <w:textAlignment w:val="baseline"/>
        <w:outlineLvl w:val="9"/>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eastAsia"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w:t>
      </w:r>
      <w:r>
        <w:rPr>
          <w:rFonts w:hint="eastAsia" w:eastAsia="仿宋_GB2312" w:cs="Times New Roman"/>
          <w:color w:val="auto"/>
          <w:sz w:val="32"/>
          <w:szCs w:val="32"/>
          <w:lang w:val="en-US" w:eastAsia="zh-CN"/>
        </w:rPr>
        <w:t xml:space="preserve">    </w:t>
      </w:r>
    </w:p>
    <w:p>
      <w:pPr>
        <w:pStyle w:val="5"/>
        <w:wordWrap/>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sz w:val="10"/>
          <w:szCs w:val="10"/>
          <w:lang w:val="en-US" w:eastAsia="zh-CN"/>
        </w:rPr>
      </w:pPr>
    </w:p>
    <w:p>
      <w:pPr>
        <w:pStyle w:val="2"/>
        <w:rPr>
          <w:rFonts w:hint="eastAsia"/>
          <w:lang w:val="en-US" w:eastAsia="zh-CN"/>
        </w:rPr>
      </w:pPr>
    </w:p>
    <w:p>
      <w:pPr>
        <w:spacing w:line="680" w:lineRule="exact"/>
        <w:ind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主题词：环境影响 报告</w:t>
      </w:r>
      <w:r>
        <w:rPr>
          <w:rFonts w:hint="default" w:ascii="Times New Roman" w:hAnsi="Times New Roman" w:eastAsia="仿宋_GB2312" w:cs="Times New Roman"/>
          <w:color w:val="auto"/>
          <w:sz w:val="28"/>
          <w:szCs w:val="28"/>
          <w:highlight w:val="none"/>
          <w:lang w:eastAsia="zh-CN"/>
        </w:rPr>
        <w:t>表</w:t>
      </w:r>
      <w:r>
        <w:rPr>
          <w:rFonts w:hint="default" w:ascii="Times New Roman" w:hAnsi="Times New Roman" w:eastAsia="仿宋_GB2312" w:cs="Times New Roman"/>
          <w:color w:val="auto"/>
          <w:sz w:val="28"/>
          <w:szCs w:val="28"/>
          <w:highlight w:val="none"/>
        </w:rPr>
        <w:t xml:space="preserve"> 批复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（共印4份）</w:t>
      </w:r>
    </w:p>
    <w:tbl>
      <w:tblPr>
        <w:tblStyle w:val="8"/>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firstLine="280" w:firstLineChars="100"/>
              <w:rPr>
                <w:rFonts w:hint="default" w:ascii="Times New Roman" w:hAnsi="Times New Roman" w:cs="Times New Roman"/>
                <w:color w:val="auto"/>
                <w:sz w:val="32"/>
                <w:highlight w:val="none"/>
              </w:rPr>
            </w:pPr>
            <w:r>
              <w:rPr>
                <w:rFonts w:hint="default" w:ascii="Times New Roman" w:hAnsi="Times New Roman" w:eastAsia="仿宋_GB2312" w:cs="Times New Roman"/>
                <w:color w:val="auto"/>
                <w:sz w:val="28"/>
                <w:szCs w:val="28"/>
                <w:highlight w:val="none"/>
              </w:rPr>
              <w:t>抄</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送：天津市滨海新区生态环境局</w:t>
            </w:r>
          </w:p>
        </w:tc>
      </w:tr>
    </w:tbl>
    <w:p>
      <w:pPr>
        <w:ind w:firstLine="280" w:firstLineChars="100"/>
        <w:rPr>
          <w:rFonts w:hint="eastAsia" w:ascii="仿宋_GB2312" w:eastAsia="仿宋_GB2312"/>
          <w:color w:val="auto"/>
          <w:sz w:val="32"/>
          <w:szCs w:val="32"/>
          <w:lang w:val="en-US" w:eastAsia="zh-CN"/>
        </w:rPr>
      </w:pPr>
      <w:r>
        <w:rPr>
          <w:rFonts w:hint="default" w:ascii="Times New Roman" w:hAnsi="Times New Roman" w:eastAsia="仿宋_GB2312" w:cs="Times New Roman"/>
          <w:color w:val="auto"/>
          <w:sz w:val="28"/>
          <w:szCs w:val="28"/>
          <w:highlight w:val="none"/>
        </w:rPr>
        <w:t xml:space="preserve">天津市滨海新区行政审批局            </w:t>
      </w:r>
      <w:r>
        <w:rPr>
          <w:rFonts w:hint="default" w:ascii="Times New Roman" w:hAnsi="Times New Roman" w:eastAsia="仿宋_GB2312" w:cs="Times New Roman"/>
          <w:color w:val="auto"/>
          <w:sz w:val="28"/>
          <w:szCs w:val="28"/>
          <w:highlight w:val="none"/>
          <w:lang w:val="en-US" w:eastAsia="zh-CN"/>
        </w:rPr>
        <w:t xml:space="preserve"> </w:t>
      </w:r>
      <w:r>
        <w:rPr>
          <w:rFonts w:hint="eastAsia" w:eastAsia="仿宋_GB2312" w:cs="Times New Roman"/>
          <w:color w:val="auto"/>
          <w:sz w:val="28"/>
          <w:szCs w:val="28"/>
          <w:highlight w:val="none"/>
          <w:lang w:val="en-US" w:eastAsia="zh-CN"/>
        </w:rPr>
        <w:t xml:space="preserve">     </w:t>
      </w:r>
      <w:r>
        <w:rPr>
          <w:rFonts w:hint="default" w:eastAsia="仿宋_GB2312" w:cs="Times New Roman"/>
          <w:color w:val="auto"/>
          <w:sz w:val="28"/>
          <w:szCs w:val="28"/>
          <w:highlight w:val="none"/>
          <w:lang w:val="en" w:eastAsia="zh-CN"/>
        </w:rPr>
        <w:t>2</w:t>
      </w:r>
      <w:r>
        <w:rPr>
          <w:rFonts w:hint="default" w:ascii="Times New Roman" w:hAnsi="Times New Roman" w:eastAsia="仿宋_GB2312" w:cs="Times New Roman"/>
          <w:color w:val="auto"/>
          <w:sz w:val="28"/>
          <w:szCs w:val="28"/>
          <w:highlight w:val="none"/>
          <w:lang w:val="en-US" w:eastAsia="zh-CN"/>
        </w:rPr>
        <w:t>0</w:t>
      </w:r>
      <w:r>
        <w:rPr>
          <w:rFonts w:hint="eastAsia" w:eastAsia="仿宋_GB2312" w:cs="Times New Roman"/>
          <w:color w:val="auto"/>
          <w:sz w:val="28"/>
          <w:szCs w:val="28"/>
          <w:highlight w:val="none"/>
          <w:lang w:val="en-US" w:eastAsia="zh-CN"/>
        </w:rPr>
        <w:t>22</w:t>
      </w:r>
      <w:r>
        <w:rPr>
          <w:rFonts w:hint="default" w:ascii="Times New Roman" w:hAnsi="Times New Roman" w:eastAsia="仿宋_GB2312" w:cs="Times New Roman"/>
          <w:color w:val="auto"/>
          <w:sz w:val="28"/>
          <w:szCs w:val="28"/>
          <w:highlight w:val="none"/>
        </w:rPr>
        <w:t>年</w:t>
      </w:r>
      <w:r>
        <w:rPr>
          <w:rFonts w:hint="eastAsia"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月</w:t>
      </w:r>
      <w:r>
        <w:rPr>
          <w:rFonts w:hint="eastAsia"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30"/>
                              <w:szCs w:val="30"/>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宋体"/>
                        <w:sz w:val="30"/>
                        <w:szCs w:val="30"/>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DJlMzAwZTE0OTRjMTQ5OTJjY2ZiMzRkMmYxNjU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02968"/>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605565"/>
    <w:rsid w:val="017D0E60"/>
    <w:rsid w:val="022C4AC3"/>
    <w:rsid w:val="03171546"/>
    <w:rsid w:val="031C0752"/>
    <w:rsid w:val="03EA0063"/>
    <w:rsid w:val="03EF0BE7"/>
    <w:rsid w:val="05FA65C2"/>
    <w:rsid w:val="06041167"/>
    <w:rsid w:val="07307348"/>
    <w:rsid w:val="079075EF"/>
    <w:rsid w:val="07CF6683"/>
    <w:rsid w:val="08CC7EF8"/>
    <w:rsid w:val="094E022E"/>
    <w:rsid w:val="0A616717"/>
    <w:rsid w:val="0A7B58F8"/>
    <w:rsid w:val="0A993ECD"/>
    <w:rsid w:val="0AFD432E"/>
    <w:rsid w:val="0B0D5A13"/>
    <w:rsid w:val="0B6D14B7"/>
    <w:rsid w:val="0BB309C7"/>
    <w:rsid w:val="0C8A0E0C"/>
    <w:rsid w:val="0D777966"/>
    <w:rsid w:val="0DA17C0A"/>
    <w:rsid w:val="0E491814"/>
    <w:rsid w:val="0E4B0420"/>
    <w:rsid w:val="0EFE6AFD"/>
    <w:rsid w:val="0F5F0442"/>
    <w:rsid w:val="0FA859B9"/>
    <w:rsid w:val="0FBF42EC"/>
    <w:rsid w:val="11D91F41"/>
    <w:rsid w:val="126758C9"/>
    <w:rsid w:val="12D0549C"/>
    <w:rsid w:val="1315611C"/>
    <w:rsid w:val="138327ED"/>
    <w:rsid w:val="13CE5020"/>
    <w:rsid w:val="14367871"/>
    <w:rsid w:val="14970118"/>
    <w:rsid w:val="1518002A"/>
    <w:rsid w:val="151E657B"/>
    <w:rsid w:val="15A940F9"/>
    <w:rsid w:val="161105C7"/>
    <w:rsid w:val="16420B4B"/>
    <w:rsid w:val="164A154B"/>
    <w:rsid w:val="16BA248E"/>
    <w:rsid w:val="17977B39"/>
    <w:rsid w:val="179A0047"/>
    <w:rsid w:val="17B46048"/>
    <w:rsid w:val="181F6EAB"/>
    <w:rsid w:val="184D3DB0"/>
    <w:rsid w:val="19273047"/>
    <w:rsid w:val="19827E91"/>
    <w:rsid w:val="19B95B36"/>
    <w:rsid w:val="19C23FA1"/>
    <w:rsid w:val="1A1C6574"/>
    <w:rsid w:val="1A506E53"/>
    <w:rsid w:val="1BF3728E"/>
    <w:rsid w:val="1C4D4DFC"/>
    <w:rsid w:val="1D992813"/>
    <w:rsid w:val="1E742A13"/>
    <w:rsid w:val="1E8563FC"/>
    <w:rsid w:val="1E860E96"/>
    <w:rsid w:val="1F3259C6"/>
    <w:rsid w:val="1F863A57"/>
    <w:rsid w:val="1FC313F6"/>
    <w:rsid w:val="21390C25"/>
    <w:rsid w:val="217E0DA2"/>
    <w:rsid w:val="21BE770D"/>
    <w:rsid w:val="21D74401"/>
    <w:rsid w:val="21EC1FEE"/>
    <w:rsid w:val="22092006"/>
    <w:rsid w:val="220D79D5"/>
    <w:rsid w:val="22853E7A"/>
    <w:rsid w:val="22866D9E"/>
    <w:rsid w:val="235F1C43"/>
    <w:rsid w:val="246E51C2"/>
    <w:rsid w:val="25930AA1"/>
    <w:rsid w:val="261C2711"/>
    <w:rsid w:val="26333F5B"/>
    <w:rsid w:val="264C63DC"/>
    <w:rsid w:val="2726241A"/>
    <w:rsid w:val="279E2447"/>
    <w:rsid w:val="27DF6D5B"/>
    <w:rsid w:val="28A50490"/>
    <w:rsid w:val="290416FB"/>
    <w:rsid w:val="29193E2B"/>
    <w:rsid w:val="29686571"/>
    <w:rsid w:val="2A2C5413"/>
    <w:rsid w:val="2A683397"/>
    <w:rsid w:val="2A8E570B"/>
    <w:rsid w:val="2AD1141D"/>
    <w:rsid w:val="2B5A4C61"/>
    <w:rsid w:val="2C6C59A2"/>
    <w:rsid w:val="2DA85F50"/>
    <w:rsid w:val="2DE85F13"/>
    <w:rsid w:val="2DFA2D64"/>
    <w:rsid w:val="2EE81277"/>
    <w:rsid w:val="2FDA496E"/>
    <w:rsid w:val="30CB4547"/>
    <w:rsid w:val="317C0FBC"/>
    <w:rsid w:val="31821C7B"/>
    <w:rsid w:val="31C439B0"/>
    <w:rsid w:val="31D3618D"/>
    <w:rsid w:val="31E47D3B"/>
    <w:rsid w:val="330A7AD7"/>
    <w:rsid w:val="33937C59"/>
    <w:rsid w:val="33CC3E98"/>
    <w:rsid w:val="34204583"/>
    <w:rsid w:val="342E48E5"/>
    <w:rsid w:val="34D7709C"/>
    <w:rsid w:val="34DD613F"/>
    <w:rsid w:val="3536679E"/>
    <w:rsid w:val="3678062E"/>
    <w:rsid w:val="37432531"/>
    <w:rsid w:val="37FD68A6"/>
    <w:rsid w:val="393A2AC7"/>
    <w:rsid w:val="393B4C3B"/>
    <w:rsid w:val="3982447C"/>
    <w:rsid w:val="39A16DB4"/>
    <w:rsid w:val="3DC87BB7"/>
    <w:rsid w:val="3E053D44"/>
    <w:rsid w:val="3E6B05F3"/>
    <w:rsid w:val="3F6A5805"/>
    <w:rsid w:val="40176CC9"/>
    <w:rsid w:val="40AF5FD1"/>
    <w:rsid w:val="41134EAF"/>
    <w:rsid w:val="41BA15F9"/>
    <w:rsid w:val="420A2FF8"/>
    <w:rsid w:val="42195A6A"/>
    <w:rsid w:val="429124AF"/>
    <w:rsid w:val="42B85B67"/>
    <w:rsid w:val="42DA1CB5"/>
    <w:rsid w:val="43607A44"/>
    <w:rsid w:val="43AE49AE"/>
    <w:rsid w:val="446621C2"/>
    <w:rsid w:val="44AA2A23"/>
    <w:rsid w:val="44E37ECA"/>
    <w:rsid w:val="44F21C4B"/>
    <w:rsid w:val="459735F2"/>
    <w:rsid w:val="45AD6951"/>
    <w:rsid w:val="45CD25B1"/>
    <w:rsid w:val="463C00DC"/>
    <w:rsid w:val="463F32E9"/>
    <w:rsid w:val="47221287"/>
    <w:rsid w:val="47845592"/>
    <w:rsid w:val="47C51352"/>
    <w:rsid w:val="48B431C7"/>
    <w:rsid w:val="48E872EB"/>
    <w:rsid w:val="495A1221"/>
    <w:rsid w:val="4AE83298"/>
    <w:rsid w:val="4B106CD2"/>
    <w:rsid w:val="4BEB5FEB"/>
    <w:rsid w:val="4BFA4157"/>
    <w:rsid w:val="4C895B69"/>
    <w:rsid w:val="4D7A256B"/>
    <w:rsid w:val="4E284633"/>
    <w:rsid w:val="4E8A1123"/>
    <w:rsid w:val="4EB07CD3"/>
    <w:rsid w:val="4EBF7184"/>
    <w:rsid w:val="4EE95F44"/>
    <w:rsid w:val="4F016F2E"/>
    <w:rsid w:val="4F9E2FE4"/>
    <w:rsid w:val="502925FF"/>
    <w:rsid w:val="50C54397"/>
    <w:rsid w:val="50D413E4"/>
    <w:rsid w:val="517F3AB5"/>
    <w:rsid w:val="51872AF4"/>
    <w:rsid w:val="51A96376"/>
    <w:rsid w:val="51BD51B5"/>
    <w:rsid w:val="5261193E"/>
    <w:rsid w:val="53333171"/>
    <w:rsid w:val="53546890"/>
    <w:rsid w:val="537F0991"/>
    <w:rsid w:val="53D050AD"/>
    <w:rsid w:val="54420B81"/>
    <w:rsid w:val="562D4626"/>
    <w:rsid w:val="565D50E4"/>
    <w:rsid w:val="56F00E14"/>
    <w:rsid w:val="570A2411"/>
    <w:rsid w:val="573FBB1A"/>
    <w:rsid w:val="5750757E"/>
    <w:rsid w:val="579F09F4"/>
    <w:rsid w:val="57A25D6E"/>
    <w:rsid w:val="581A10A7"/>
    <w:rsid w:val="59465D4C"/>
    <w:rsid w:val="59A10B54"/>
    <w:rsid w:val="5A2A7114"/>
    <w:rsid w:val="5C870F38"/>
    <w:rsid w:val="5C975214"/>
    <w:rsid w:val="5CAC20A2"/>
    <w:rsid w:val="5CE11D93"/>
    <w:rsid w:val="5D0E0D1E"/>
    <w:rsid w:val="5D1A2FE5"/>
    <w:rsid w:val="5D340453"/>
    <w:rsid w:val="5DB84FA9"/>
    <w:rsid w:val="5DDC239E"/>
    <w:rsid w:val="5E0471CF"/>
    <w:rsid w:val="5E0A1E6D"/>
    <w:rsid w:val="5F071E55"/>
    <w:rsid w:val="5F52713E"/>
    <w:rsid w:val="5F9A6485"/>
    <w:rsid w:val="60381087"/>
    <w:rsid w:val="61567BD2"/>
    <w:rsid w:val="61BC32B4"/>
    <w:rsid w:val="61F11BB7"/>
    <w:rsid w:val="627D0FB0"/>
    <w:rsid w:val="628A6975"/>
    <w:rsid w:val="62F9157D"/>
    <w:rsid w:val="633A301A"/>
    <w:rsid w:val="633E53F7"/>
    <w:rsid w:val="63A519FA"/>
    <w:rsid w:val="63BE1B4F"/>
    <w:rsid w:val="63C42AC6"/>
    <w:rsid w:val="662832AD"/>
    <w:rsid w:val="67123A6B"/>
    <w:rsid w:val="67806E84"/>
    <w:rsid w:val="67B451E3"/>
    <w:rsid w:val="684540D9"/>
    <w:rsid w:val="686A0B4A"/>
    <w:rsid w:val="68CD0632"/>
    <w:rsid w:val="69B942B6"/>
    <w:rsid w:val="6A986B98"/>
    <w:rsid w:val="6BB66257"/>
    <w:rsid w:val="6CBE07C5"/>
    <w:rsid w:val="6CE124F8"/>
    <w:rsid w:val="6E4B1B52"/>
    <w:rsid w:val="6F2605FE"/>
    <w:rsid w:val="6F4020DE"/>
    <w:rsid w:val="6FE24D50"/>
    <w:rsid w:val="6FF3011B"/>
    <w:rsid w:val="706E47D2"/>
    <w:rsid w:val="709F468C"/>
    <w:rsid w:val="71B60E95"/>
    <w:rsid w:val="71CA6AEA"/>
    <w:rsid w:val="71E83EF3"/>
    <w:rsid w:val="71F065BA"/>
    <w:rsid w:val="729829D6"/>
    <w:rsid w:val="73067FA2"/>
    <w:rsid w:val="73935D89"/>
    <w:rsid w:val="73C20023"/>
    <w:rsid w:val="7458541A"/>
    <w:rsid w:val="7479752E"/>
    <w:rsid w:val="74F639BA"/>
    <w:rsid w:val="755B3206"/>
    <w:rsid w:val="758A0BF2"/>
    <w:rsid w:val="758D7DD4"/>
    <w:rsid w:val="75F63195"/>
    <w:rsid w:val="76A77C9C"/>
    <w:rsid w:val="76D4578A"/>
    <w:rsid w:val="77F93EEF"/>
    <w:rsid w:val="78241FCC"/>
    <w:rsid w:val="787E122A"/>
    <w:rsid w:val="78B56081"/>
    <w:rsid w:val="79960AEB"/>
    <w:rsid w:val="7A134250"/>
    <w:rsid w:val="7A367E89"/>
    <w:rsid w:val="7A4D29BF"/>
    <w:rsid w:val="7AAF778F"/>
    <w:rsid w:val="7ABD36A5"/>
    <w:rsid w:val="7AD91A30"/>
    <w:rsid w:val="7B413F13"/>
    <w:rsid w:val="7B6B0D07"/>
    <w:rsid w:val="7C090A90"/>
    <w:rsid w:val="7C4F638F"/>
    <w:rsid w:val="7D123060"/>
    <w:rsid w:val="7D337ACC"/>
    <w:rsid w:val="7D8642F9"/>
    <w:rsid w:val="7E6C59D9"/>
    <w:rsid w:val="7F0C7452"/>
    <w:rsid w:val="7F5378E9"/>
    <w:rsid w:val="7FD231E4"/>
    <w:rsid w:val="BF3BF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outlineLvl w:val="0"/>
    </w:pPr>
    <w:rPr>
      <w:rFonts w:eastAsia="黑体"/>
      <w:kern w:val="44"/>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spacing w:line="360" w:lineRule="auto"/>
      <w:jc w:val="center"/>
    </w:pPr>
  </w:style>
  <w:style w:type="paragraph" w:customStyle="1" w:styleId="3">
    <w:name w:val="样式 样式 四号 左侧:  1.53 厘米 + 首行缩进:  2 字符"/>
    <w:basedOn w:val="4"/>
    <w:qFormat/>
    <w:uiPriority w:val="99"/>
    <w:pPr>
      <w:ind w:left="200" w:leftChars="200"/>
    </w:pPr>
    <w:rPr>
      <w:szCs w:val="20"/>
    </w:rPr>
  </w:style>
  <w:style w:type="paragraph" w:customStyle="1" w:styleId="4">
    <w:name w:val="样式 四号 左侧:  1.53 厘米"/>
    <w:basedOn w:val="1"/>
    <w:qFormat/>
    <w:uiPriority w:val="99"/>
    <w:rPr>
      <w:w w:val="90"/>
      <w:sz w:val="28"/>
      <w:szCs w:val="2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Emphasis"/>
    <w:basedOn w:val="9"/>
    <w:qFormat/>
    <w:uiPriority w:val="0"/>
    <w:rPr>
      <w:i/>
    </w:rPr>
  </w:style>
  <w:style w:type="character" w:customStyle="1" w:styleId="12">
    <w:name w:val="页脚 Char"/>
    <w:basedOn w:val="9"/>
    <w:link w:val="6"/>
    <w:qFormat/>
    <w:uiPriority w:val="0"/>
    <w:rPr>
      <w:kern w:val="2"/>
      <w:sz w:val="18"/>
      <w:szCs w:val="18"/>
    </w:rPr>
  </w:style>
  <w:style w:type="character" w:customStyle="1" w:styleId="13">
    <w:name w:val="页眉 Char"/>
    <w:basedOn w:val="9"/>
    <w:link w:val="7"/>
    <w:qFormat/>
    <w:uiPriority w:val="0"/>
    <w:rPr>
      <w:kern w:val="2"/>
      <w:sz w:val="18"/>
      <w:szCs w:val="18"/>
    </w:rPr>
  </w:style>
  <w:style w:type="paragraph" w:customStyle="1" w:styleId="14">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1961</Words>
  <Characters>2206</Characters>
  <Lines>1</Lines>
  <Paragraphs>1</Paragraphs>
  <TotalTime>5</TotalTime>
  <ScaleCrop>false</ScaleCrop>
  <LinksUpToDate>false</LinksUpToDate>
  <CharactersWithSpaces>2254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2014-05-23T01:22:00Z</dcterms:created>
  <dc:creator>张明蕾</dc:creator>
  <cp:lastModifiedBy>孙烨</cp:lastModifiedBy>
  <cp:lastPrinted>2022-03-30T22:34:00Z</cp:lastPrinted>
  <dcterms:modified xsi:type="dcterms:W3CDTF">2022-06-13T09:33:03Z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493EF08172E24DB3BF7083F33873C6C8</vt:lpwstr>
  </property>
</Properties>
</file>