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04C7" w:rsidRDefault="00FE04C7" w:rsidP="00636113">
      <w:pPr>
        <w:tabs>
          <w:tab w:val="left" w:pos="3795"/>
        </w:tabs>
        <w:spacing w:line="580" w:lineRule="exact"/>
        <w:jc w:val="left"/>
        <w:rPr>
          <w:rFonts w:ascii="仿宋_GB2312" w:eastAsia="仿宋_GB2312" w:hAnsi="华文中宋"/>
          <w:sz w:val="32"/>
          <w:szCs w:val="32"/>
        </w:rPr>
      </w:pPr>
    </w:p>
    <w:p w:rsidR="00FE04C7" w:rsidRDefault="0000138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pacing w:val="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1"/>
          <w:sz w:val="44"/>
          <w:szCs w:val="44"/>
        </w:rPr>
        <w:t>区政务服务办市规划资源局滨海分局区</w:t>
      </w:r>
      <w:r>
        <w:rPr>
          <w:rFonts w:ascii="方正小标宋简体" w:eastAsia="方正小标宋简体" w:hAnsi="方正小标宋简体" w:cs="方正小标宋简体" w:hint="eastAsia"/>
          <w:spacing w:val="11"/>
          <w:sz w:val="44"/>
          <w:szCs w:val="44"/>
        </w:rPr>
        <w:t>住房</w:t>
      </w:r>
    </w:p>
    <w:p w:rsidR="00FE04C7" w:rsidRDefault="0000138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建设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委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区工业和信息化局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区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城市管理</w:t>
      </w:r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委区水务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局滨海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供电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天津第二分公司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</w:p>
    <w:p w:rsidR="00FE04C7" w:rsidRDefault="0000138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印发滨海新区投资项目联合交底</w:t>
      </w:r>
    </w:p>
    <w:p w:rsidR="00FE04C7" w:rsidRDefault="0000138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工作方案的通知</w:t>
      </w:r>
    </w:p>
    <w:p w:rsidR="00FE04C7" w:rsidRDefault="00FE04C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E04C7" w:rsidRDefault="00001383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FE04C7" w:rsidRDefault="00001383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现将《滨海新区投资项目联合交底</w:t>
      </w:r>
      <w:r>
        <w:rPr>
          <w:rFonts w:ascii="Calibri" w:eastAsia="仿宋_GB2312" w:hAnsi="Calibri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方案》印发给你们，请遵照执行。</w:t>
      </w:r>
    </w:p>
    <w:p w:rsidR="00FE04C7" w:rsidRDefault="00FE04C7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001383">
      <w:pPr>
        <w:spacing w:line="360" w:lineRule="auto"/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区政务服务办</w:t>
      </w: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市规划资源局滨海分局</w:t>
      </w:r>
    </w:p>
    <w:p w:rsidR="00FE04C7" w:rsidRDefault="00FE04C7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FE04C7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001383">
      <w:pPr>
        <w:spacing w:line="360" w:lineRule="auto"/>
        <w:ind w:firstLineChars="350" w:firstLine="11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区</w:t>
      </w:r>
      <w:r>
        <w:rPr>
          <w:rFonts w:ascii="仿宋_GB2312" w:eastAsia="仿宋_GB2312" w:hAnsi="仿宋" w:hint="eastAsia"/>
          <w:sz w:val="32"/>
          <w:szCs w:val="32"/>
        </w:rPr>
        <w:t>住房建设</w:t>
      </w:r>
      <w:r>
        <w:rPr>
          <w:rFonts w:ascii="仿宋_GB2312" w:eastAsia="仿宋_GB2312" w:hAnsi="仿宋" w:hint="eastAsia"/>
          <w:sz w:val="32"/>
          <w:szCs w:val="32"/>
        </w:rPr>
        <w:t>委</w:t>
      </w:r>
      <w:r>
        <w:rPr>
          <w:rFonts w:ascii="仿宋_GB2312" w:eastAsia="仿宋_GB2312" w:hAnsi="仿宋" w:hint="eastAsia"/>
          <w:sz w:val="32"/>
          <w:szCs w:val="32"/>
        </w:rPr>
        <w:t>区工业和信息化局</w:t>
      </w:r>
    </w:p>
    <w:p w:rsidR="00FE04C7" w:rsidRDefault="00FE04C7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FE04C7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FE04C7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001383">
      <w:pPr>
        <w:spacing w:line="360" w:lineRule="auto"/>
        <w:ind w:firstLineChars="350" w:firstLine="11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区</w:t>
      </w:r>
      <w:r>
        <w:rPr>
          <w:rFonts w:ascii="仿宋_GB2312" w:eastAsia="仿宋_GB2312" w:hAnsi="仿宋" w:hint="eastAsia"/>
          <w:sz w:val="32"/>
          <w:szCs w:val="32"/>
        </w:rPr>
        <w:t>城市管理</w:t>
      </w:r>
      <w:r>
        <w:rPr>
          <w:rFonts w:ascii="仿宋_GB2312" w:eastAsia="仿宋_GB2312" w:hAnsi="仿宋" w:hint="eastAsia"/>
          <w:sz w:val="32"/>
          <w:szCs w:val="32"/>
        </w:rPr>
        <w:t>委区水务局</w:t>
      </w:r>
    </w:p>
    <w:p w:rsidR="00FE04C7" w:rsidRDefault="00FE04C7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FE04C7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FE04C7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001383">
      <w:pPr>
        <w:wordWrap w:val="0"/>
        <w:spacing w:line="360" w:lineRule="auto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滨海</w:t>
      </w:r>
      <w:r>
        <w:rPr>
          <w:rFonts w:ascii="仿宋_GB2312" w:eastAsia="仿宋_GB2312" w:hAnsi="仿宋" w:hint="eastAsia"/>
          <w:sz w:val="32"/>
          <w:szCs w:val="32"/>
        </w:rPr>
        <w:t>供电</w:t>
      </w:r>
      <w:r>
        <w:rPr>
          <w:rFonts w:ascii="仿宋_GB2312" w:eastAsia="仿宋_GB2312" w:hAnsi="仿宋" w:hint="eastAsia"/>
          <w:sz w:val="32"/>
          <w:szCs w:val="32"/>
        </w:rPr>
        <w:t>公司</w:t>
      </w: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>中国铁塔天津第二分公司</w:t>
      </w:r>
    </w:p>
    <w:p w:rsidR="00FE04C7" w:rsidRDefault="00001383">
      <w:pPr>
        <w:wordWrap w:val="0"/>
        <w:spacing w:line="360" w:lineRule="auto"/>
        <w:jc w:val="right"/>
        <w:rPr>
          <w:rFonts w:eastAsia="仿宋_GB2312"/>
          <w:sz w:val="32"/>
          <w:szCs w:val="32"/>
          <w:lang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lang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lang/>
        </w:rPr>
        <w:t>31</w:t>
      </w:r>
      <w:r>
        <w:rPr>
          <w:rFonts w:eastAsia="仿宋_GB2312"/>
          <w:sz w:val="32"/>
          <w:szCs w:val="32"/>
        </w:rPr>
        <w:t>日</w:t>
      </w:r>
    </w:p>
    <w:p w:rsidR="00FE04C7" w:rsidRDefault="00001383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（此件主动公开）</w:t>
      </w:r>
    </w:p>
    <w:p w:rsidR="00FE04C7" w:rsidRDefault="00FE04C7">
      <w:pPr>
        <w:spacing w:line="60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:rsidR="00FE04C7" w:rsidRDefault="00FE04C7">
      <w:pPr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FE04C7">
      <w:pPr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FE04C7">
      <w:pPr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FE04C7">
      <w:pPr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FE04C7">
      <w:pPr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FE04C7">
      <w:pPr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FE04C7">
      <w:pPr>
        <w:jc w:val="left"/>
        <w:rPr>
          <w:rFonts w:ascii="仿宋_GB2312" w:eastAsia="仿宋_GB2312" w:hAnsi="仿宋"/>
          <w:sz w:val="32"/>
          <w:szCs w:val="32"/>
        </w:rPr>
      </w:pPr>
    </w:p>
    <w:p w:rsidR="00FE04C7" w:rsidRDefault="00001383">
      <w:pPr>
        <w:pStyle w:val="a9"/>
        <w:spacing w:before="0" w:after="0" w:line="660" w:lineRule="exact"/>
        <w:rPr>
          <w:rFonts w:ascii="方正小标宋简体" w:eastAsia="方正小标宋简体" w:hAnsi="仿宋"/>
          <w:b w:val="0"/>
          <w:bCs w:val="0"/>
          <w:sz w:val="44"/>
          <w:szCs w:val="44"/>
        </w:rPr>
      </w:pPr>
      <w:r>
        <w:rPr>
          <w:rFonts w:ascii="方正小标宋简体" w:eastAsia="方正小标宋简体" w:hAnsi="仿宋" w:hint="eastAsia"/>
          <w:b w:val="0"/>
          <w:bCs w:val="0"/>
          <w:sz w:val="44"/>
          <w:szCs w:val="44"/>
        </w:rPr>
        <w:t>滨海新区投资项目联合交底工作方案</w:t>
      </w:r>
    </w:p>
    <w:p w:rsidR="00FE04C7" w:rsidRDefault="00FE04C7">
      <w:pPr>
        <w:pStyle w:val="a9"/>
        <w:spacing w:before="0" w:after="0"/>
        <w:rPr>
          <w:rFonts w:ascii="仿宋_GB2312" w:eastAsia="仿宋_GB2312" w:hAnsi="仿宋"/>
        </w:rPr>
      </w:pPr>
    </w:p>
    <w:p w:rsidR="00FE04C7" w:rsidRDefault="00001383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为持续深化审批制度改革，优化投资项目前期审批流程，对标《国务院关于开展营商环境创新试点工作的意见》（国发〔</w:t>
      </w:r>
      <w:r>
        <w:rPr>
          <w:rFonts w:eastAsia="仿宋_GB2312"/>
          <w:sz w:val="32"/>
          <w:szCs w:val="32"/>
        </w:rPr>
        <w:t>202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号）有关要求，结合滨海新区实际，特制定本</w:t>
      </w:r>
      <w:r>
        <w:rPr>
          <w:rFonts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方案。</w:t>
      </w:r>
    </w:p>
    <w:p w:rsidR="00FE04C7" w:rsidRDefault="00001383">
      <w:pPr>
        <w:pStyle w:val="2"/>
        <w:spacing w:before="0" w:after="0" w:line="560" w:lineRule="exact"/>
        <w:ind w:firstLineChars="200" w:firstLine="640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一、指导思想</w:t>
      </w:r>
    </w:p>
    <w:p w:rsidR="00FE04C7" w:rsidRDefault="00001383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以习近平新时代中国特色社会主义思想为指导，深入贯彻落实党的十九大和十</w:t>
      </w:r>
      <w:r>
        <w:rPr>
          <w:rFonts w:ascii="仿宋_GB2312" w:eastAsia="仿宋_GB2312" w:hAnsi="仿宋" w:hint="eastAsia"/>
          <w:sz w:val="32"/>
          <w:szCs w:val="32"/>
        </w:rPr>
        <w:t>九届</w:t>
      </w:r>
      <w:r>
        <w:rPr>
          <w:rFonts w:ascii="仿宋_GB2312" w:eastAsia="仿宋_GB2312" w:hAnsi="仿宋" w:hint="eastAsia"/>
          <w:sz w:val="32"/>
          <w:szCs w:val="32"/>
        </w:rPr>
        <w:t>历次</w:t>
      </w:r>
      <w:r>
        <w:rPr>
          <w:rFonts w:ascii="仿宋_GB2312" w:eastAsia="仿宋_GB2312" w:hAnsi="仿宋" w:hint="eastAsia"/>
          <w:sz w:val="32"/>
          <w:szCs w:val="32"/>
        </w:rPr>
        <w:t>全会精神及习近平总书记</w:t>
      </w:r>
      <w:r>
        <w:rPr>
          <w:rFonts w:ascii="仿宋_GB2312" w:eastAsia="仿宋_GB2312" w:hAnsi="仿宋" w:hint="eastAsia"/>
          <w:sz w:val="32"/>
          <w:szCs w:val="32"/>
        </w:rPr>
        <w:t>在天津考察工作和</w:t>
      </w:r>
      <w:r>
        <w:rPr>
          <w:rFonts w:ascii="仿宋_GB2312" w:eastAsia="仿宋_GB2312" w:hAnsi="仿宋" w:hint="eastAsia"/>
          <w:sz w:val="32"/>
          <w:szCs w:val="32"/>
        </w:rPr>
        <w:t>京津冀协同发展座谈会上重要讲话精神，进一步落实党中央、国务院及市委、市政府有关深化“放管服”改革、优化营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商环境</w:t>
      </w:r>
      <w:r>
        <w:rPr>
          <w:rFonts w:ascii="仿宋_GB2312" w:eastAsia="仿宋_GB2312" w:hAnsi="仿宋" w:hint="eastAsia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部署，通过深化审批制度改革，审批流程</w:t>
      </w:r>
      <w:r>
        <w:rPr>
          <w:rFonts w:ascii="仿宋_GB2312" w:eastAsia="仿宋_GB2312" w:hAnsi="仿宋" w:hint="eastAsia"/>
          <w:sz w:val="32"/>
          <w:szCs w:val="32"/>
        </w:rPr>
        <w:t>进一步优化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投资</w:t>
      </w:r>
      <w:r>
        <w:rPr>
          <w:rFonts w:ascii="仿宋_GB2312" w:eastAsia="仿宋_GB2312" w:hAnsi="仿宋" w:hint="eastAsia"/>
          <w:sz w:val="32"/>
          <w:szCs w:val="32"/>
        </w:rPr>
        <w:t>项目审批进一步提速，企业和群众的获得感进一步增强。</w:t>
      </w:r>
    </w:p>
    <w:p w:rsidR="00FE04C7" w:rsidRDefault="00001383">
      <w:pPr>
        <w:pStyle w:val="2"/>
        <w:spacing w:before="0" w:after="0" w:line="560" w:lineRule="exact"/>
        <w:ind w:firstLineChars="200" w:firstLine="640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二、适用范围</w:t>
      </w:r>
    </w:p>
    <w:p w:rsidR="00FE04C7" w:rsidRDefault="00001383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适用于滨海新区范围内社会投资工业、商业</w:t>
      </w:r>
      <w:r>
        <w:rPr>
          <w:rFonts w:ascii="仿宋_GB2312" w:eastAsia="仿宋_GB2312" w:hAnsi="仿宋" w:hint="eastAsia"/>
          <w:sz w:val="32"/>
          <w:szCs w:val="32"/>
        </w:rPr>
        <w:t>综合体</w:t>
      </w:r>
      <w:r>
        <w:rPr>
          <w:rFonts w:ascii="仿宋_GB2312" w:eastAsia="仿宋_GB2312" w:hAnsi="仿宋" w:hint="eastAsia"/>
          <w:sz w:val="32"/>
          <w:szCs w:val="32"/>
        </w:rPr>
        <w:t>项目。涉及危险化学品、文物保护、生态环境保护等特殊要求的项目除外。</w:t>
      </w:r>
    </w:p>
    <w:p w:rsidR="00FE04C7" w:rsidRDefault="00001383">
      <w:pPr>
        <w:pStyle w:val="2"/>
        <w:spacing w:before="0" w:after="0" w:line="560" w:lineRule="exact"/>
        <w:ind w:firstLineChars="200" w:firstLine="640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三、</w:t>
      </w:r>
      <w:r>
        <w:rPr>
          <w:rFonts w:ascii="黑体" w:eastAsia="黑体" w:hAnsi="黑体" w:hint="eastAsia"/>
          <w:b w:val="0"/>
          <w:sz w:val="32"/>
        </w:rPr>
        <w:t>工作流程</w:t>
      </w:r>
    </w:p>
    <w:p w:rsidR="00FE04C7" w:rsidRDefault="00001383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项目单位</w:t>
      </w:r>
      <w:r>
        <w:rPr>
          <w:rFonts w:ascii="仿宋_GB2312" w:eastAsia="仿宋_GB2312" w:hint="eastAsia"/>
          <w:sz w:val="32"/>
          <w:szCs w:val="32"/>
        </w:rPr>
        <w:t>确定投资意向后、开展前期工作前，</w:t>
      </w:r>
      <w:r>
        <w:rPr>
          <w:rFonts w:ascii="仿宋_GB2312" w:eastAsia="仿宋_GB2312" w:hint="eastAsia"/>
          <w:sz w:val="32"/>
          <w:szCs w:val="32"/>
        </w:rPr>
        <w:t>作出相关承诺，</w:t>
      </w:r>
      <w:r>
        <w:rPr>
          <w:rFonts w:ascii="仿宋_GB2312" w:eastAsia="仿宋_GB2312" w:hint="eastAsia"/>
          <w:sz w:val="32"/>
          <w:szCs w:val="32"/>
        </w:rPr>
        <w:t>提供拟建项目基本情况、建设规模及内容、海绵城市建设条件、市政公用服务接入需求等项目信息，即可获得</w:t>
      </w:r>
      <w:r>
        <w:rPr>
          <w:rFonts w:ascii="仿宋_GB2312" w:eastAsia="仿宋_GB2312" w:hint="eastAsia"/>
          <w:sz w:val="32"/>
          <w:szCs w:val="32"/>
        </w:rPr>
        <w:t>联合交底服务。</w:t>
      </w:r>
      <w:r>
        <w:rPr>
          <w:rFonts w:ascii="仿宋_GB2312" w:eastAsia="仿宋_GB2312" w:hAnsi="仿宋" w:hint="eastAsia"/>
          <w:sz w:val="32"/>
          <w:szCs w:val="32"/>
        </w:rPr>
        <w:t>针对项目特点，区政务服务办牵头组织各相关部门和供水、供电、燃气、排水</w:t>
      </w:r>
      <w:r>
        <w:rPr>
          <w:rFonts w:ascii="仿宋_GB2312" w:eastAsia="仿宋_GB2312" w:hAnsi="仿宋" w:hint="eastAsia"/>
          <w:sz w:val="32"/>
          <w:szCs w:val="32"/>
        </w:rPr>
        <w:t>、通信</w:t>
      </w:r>
      <w:r>
        <w:rPr>
          <w:rFonts w:ascii="仿宋_GB2312" w:eastAsia="仿宋_GB2312" w:hAnsi="仿宋" w:hint="eastAsia"/>
          <w:sz w:val="32"/>
          <w:szCs w:val="32"/>
        </w:rPr>
        <w:t>等市政公用服务单位对项目进行联合</w:t>
      </w:r>
      <w:r>
        <w:rPr>
          <w:rFonts w:ascii="仿宋_GB2312" w:eastAsia="仿宋_GB2312" w:hAnsi="仿宋" w:hint="eastAsia"/>
          <w:sz w:val="32"/>
          <w:szCs w:val="32"/>
        </w:rPr>
        <w:t>会审</w:t>
      </w:r>
      <w:r>
        <w:rPr>
          <w:rFonts w:ascii="仿宋_GB2312" w:eastAsia="仿宋_GB2312" w:hAnsi="仿宋" w:hint="eastAsia"/>
          <w:sz w:val="32"/>
          <w:szCs w:val="32"/>
        </w:rPr>
        <w:t>，梳理办理条件、申报材料。</w:t>
      </w:r>
      <w:r>
        <w:rPr>
          <w:rFonts w:ascii="仿宋_GB2312" w:eastAsia="仿宋_GB2312" w:hAnsi="仿宋" w:hint="eastAsia"/>
          <w:sz w:val="32"/>
          <w:szCs w:val="32"/>
        </w:rPr>
        <w:t>项目落地政策受限的，应当场告知项目单位。</w:t>
      </w:r>
    </w:p>
    <w:p w:rsidR="00FE04C7" w:rsidRDefault="00001383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联合会审后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个工作日内，对符合上位规划的地块，</w:t>
      </w:r>
      <w:r>
        <w:rPr>
          <w:rFonts w:ascii="仿宋_GB2312" w:eastAsia="仿宋_GB2312" w:hAnsi="仿宋" w:hint="eastAsia"/>
          <w:sz w:val="32"/>
          <w:szCs w:val="32"/>
        </w:rPr>
        <w:t>市规划资源局</w:t>
      </w:r>
      <w:r>
        <w:rPr>
          <w:rFonts w:ascii="仿宋_GB2312" w:eastAsia="仿宋_GB2312" w:hAnsi="仿宋" w:hint="eastAsia"/>
          <w:sz w:val="32"/>
          <w:szCs w:val="32"/>
        </w:rPr>
        <w:t>滨海分局负责确定项目规划条件</w:t>
      </w:r>
      <w:r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区</w:t>
      </w:r>
      <w:r>
        <w:rPr>
          <w:rFonts w:ascii="仿宋_GB2312" w:eastAsia="仿宋_GB2312" w:hAnsi="仿宋" w:hint="eastAsia"/>
          <w:sz w:val="32"/>
          <w:szCs w:val="32"/>
        </w:rPr>
        <w:t>住房建设</w:t>
      </w:r>
      <w:r>
        <w:rPr>
          <w:rFonts w:ascii="仿宋_GB2312" w:eastAsia="仿宋_GB2312" w:hAnsi="仿宋" w:hint="eastAsia"/>
          <w:sz w:val="32"/>
          <w:szCs w:val="32"/>
        </w:rPr>
        <w:t>委负责明确项目消防设计条件、人防设计条件、海绵城市设计条件</w:t>
      </w:r>
      <w:r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区工业和信息化局负责协调</w:t>
      </w:r>
      <w:r>
        <w:rPr>
          <w:rFonts w:ascii="仿宋_GB2312" w:eastAsia="仿宋_GB2312" w:hAnsi="仿宋" w:hint="eastAsia"/>
          <w:sz w:val="32"/>
          <w:szCs w:val="32"/>
        </w:rPr>
        <w:t>供电单位明确电力接入条件和方式，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负责协调</w:t>
      </w:r>
      <w:r>
        <w:rPr>
          <w:rFonts w:eastAsia="仿宋_GB2312" w:hint="eastAsia"/>
          <w:sz w:val="32"/>
          <w:szCs w:val="32"/>
        </w:rPr>
        <w:t>中国铁塔股份有限公司天津市</w:t>
      </w:r>
      <w:r>
        <w:rPr>
          <w:rFonts w:eastAsia="仿宋_GB2312" w:hint="eastAsia"/>
          <w:sz w:val="32"/>
          <w:szCs w:val="32"/>
        </w:rPr>
        <w:t>第二分公司</w:t>
      </w:r>
      <w:r>
        <w:rPr>
          <w:rFonts w:eastAsia="仿宋_GB2312" w:hint="eastAsia"/>
          <w:sz w:val="32"/>
          <w:szCs w:val="32"/>
        </w:rPr>
        <w:t>牵头各基础电信企业，对移动通信、固定通信设施方案进行建议和咨询</w:t>
      </w:r>
      <w:r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区城市管理委负责协调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燃气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供应单位出具接入意见；区水务局负责协调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供水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排水等市政公用服务单位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明</w:t>
      </w:r>
      <w:r>
        <w:rPr>
          <w:rFonts w:ascii="仿宋_GB2312" w:eastAsia="仿宋_GB2312" w:hAnsi="仿宋" w:hint="eastAsia"/>
          <w:sz w:val="32"/>
          <w:szCs w:val="32"/>
        </w:rPr>
        <w:t>确</w:t>
      </w:r>
      <w:r>
        <w:rPr>
          <w:rFonts w:ascii="仿宋_GB2312" w:eastAsia="仿宋_GB2312" w:hAnsi="仿宋" w:hint="eastAsia"/>
          <w:sz w:val="32"/>
          <w:szCs w:val="32"/>
        </w:rPr>
        <w:t>相关</w:t>
      </w:r>
      <w:r>
        <w:rPr>
          <w:rFonts w:ascii="仿宋_GB2312" w:eastAsia="仿宋_GB2312" w:hAnsi="仿宋" w:hint="eastAsia"/>
          <w:sz w:val="32"/>
          <w:szCs w:val="32"/>
        </w:rPr>
        <w:t>接入条件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区政务服务办负责明确需要开展的评估评价事项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负责汇总形成联合交底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意见。</w:t>
      </w:r>
    </w:p>
    <w:p w:rsidR="00FE04C7" w:rsidRDefault="00001383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根据联合交底意见，项目单位可同步进行建筑方案设计、</w:t>
      </w:r>
      <w:r>
        <w:rPr>
          <w:rFonts w:ascii="仿宋_GB2312" w:eastAsia="仿宋_GB2312" w:hAnsi="仿宋" w:hint="eastAsia"/>
          <w:sz w:val="32"/>
          <w:szCs w:val="32"/>
        </w:rPr>
        <w:t>海绵城市设计、</w:t>
      </w:r>
      <w:r>
        <w:rPr>
          <w:rFonts w:ascii="仿宋_GB2312" w:eastAsia="仿宋_GB2312" w:hAnsi="仿宋" w:hint="eastAsia"/>
          <w:sz w:val="32"/>
          <w:szCs w:val="32"/>
        </w:rPr>
        <w:t>施工图设计</w:t>
      </w:r>
      <w:r>
        <w:rPr>
          <w:rFonts w:ascii="仿宋_GB2312" w:eastAsia="仿宋_GB2312" w:hAnsi="仿宋" w:hint="eastAsia"/>
          <w:sz w:val="32"/>
          <w:szCs w:val="32"/>
        </w:rPr>
        <w:t>与审查、</w:t>
      </w:r>
      <w:r>
        <w:rPr>
          <w:rFonts w:ascii="仿宋_GB2312" w:eastAsia="仿宋_GB2312" w:hAnsi="仿宋" w:hint="eastAsia"/>
          <w:sz w:val="32"/>
          <w:szCs w:val="32"/>
        </w:rPr>
        <w:t>市政公用基础设施工程报装。供水、供电、燃气、排水</w:t>
      </w:r>
      <w:r>
        <w:rPr>
          <w:rFonts w:ascii="仿宋_GB2312" w:eastAsia="仿宋_GB2312" w:hAnsi="仿宋" w:hint="eastAsia"/>
          <w:sz w:val="32"/>
          <w:szCs w:val="32"/>
        </w:rPr>
        <w:t>、通信</w:t>
      </w:r>
      <w:r>
        <w:rPr>
          <w:rFonts w:ascii="仿宋_GB2312" w:eastAsia="仿宋_GB2312" w:hAnsi="仿宋" w:hint="eastAsia"/>
          <w:sz w:val="32"/>
          <w:szCs w:val="32"/>
        </w:rPr>
        <w:t>等市政公用基础设施接入工程，与项目主体工程同步规划、同步设计。</w:t>
      </w:r>
      <w:r>
        <w:rPr>
          <w:rFonts w:ascii="仿宋_GB2312" w:eastAsia="仿宋_GB2312" w:hAnsi="仿宋" w:hint="eastAsia"/>
          <w:sz w:val="32"/>
          <w:szCs w:val="32"/>
        </w:rPr>
        <w:t>项目规划、设计情况应与联合交底意见一致。在土地整理、征转、出让等</w:t>
      </w:r>
      <w:r>
        <w:rPr>
          <w:rFonts w:ascii="仿宋_GB2312" w:eastAsia="仿宋_GB2312" w:hAnsi="仿宋" w:hint="eastAsia"/>
          <w:sz w:val="32"/>
          <w:szCs w:val="32"/>
        </w:rPr>
        <w:t>土地前期阶段，规划方案达到规定深度的，由市规划资源局滨海分局优先组织审查。</w:t>
      </w:r>
    </w:p>
    <w:p w:rsidR="00FE04C7" w:rsidRDefault="00001383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实行“一站式”审批，项目主体工程、市政公用基础设施接入工程同步审批，工程规划许可、施工许可、评估评价事项同步审批。涉及占用、挖掘城市道路，改动、迁移供水、排水与污水处理设施以及城市绿地、树木审批的，由相关部门</w:t>
      </w:r>
      <w:r>
        <w:rPr>
          <w:rFonts w:ascii="仿宋_GB2312" w:eastAsia="仿宋_GB2312" w:hAnsi="仿宋" w:hint="eastAsia"/>
          <w:sz w:val="32"/>
          <w:szCs w:val="32"/>
        </w:rPr>
        <w:t>内部征求意见、</w:t>
      </w:r>
      <w:r>
        <w:rPr>
          <w:rFonts w:ascii="仿宋_GB2312" w:eastAsia="仿宋_GB2312" w:hAnsi="仿宋" w:hint="eastAsia"/>
          <w:sz w:val="32"/>
          <w:szCs w:val="32"/>
        </w:rPr>
        <w:t>并联审批。</w:t>
      </w:r>
    </w:p>
    <w:p w:rsidR="00FE04C7" w:rsidRDefault="00001383">
      <w:pPr>
        <w:pStyle w:val="2"/>
        <w:spacing w:before="0" w:after="0" w:line="560" w:lineRule="exact"/>
        <w:ind w:firstLineChars="200" w:firstLine="640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四、保障措施</w:t>
      </w:r>
    </w:p>
    <w:p w:rsidR="00FE04C7" w:rsidRDefault="00001383">
      <w:pPr>
        <w:pStyle w:val="a5"/>
        <w:tabs>
          <w:tab w:val="left" w:pos="7230"/>
        </w:tabs>
        <w:spacing w:line="560" w:lineRule="exact"/>
        <w:ind w:firstLine="640"/>
        <w:rPr>
          <w:rFonts w:eastAsia="仿宋_GB2312"/>
          <w:szCs w:val="32"/>
        </w:rPr>
      </w:pPr>
      <w:r>
        <w:rPr>
          <w:rFonts w:ascii="楷体_GB2312" w:eastAsia="楷体_GB2312" w:hAnsi="华文仿宋" w:cs="楷体" w:hint="eastAsia"/>
          <w:kern w:val="0"/>
          <w:szCs w:val="32"/>
        </w:rPr>
        <w:t>（一）加强组织领导。</w:t>
      </w:r>
      <w:r>
        <w:rPr>
          <w:rFonts w:ascii="仿宋_GB2312" w:eastAsia="仿宋_GB2312" w:hAnsi="仿宋" w:hint="eastAsia"/>
          <w:szCs w:val="32"/>
        </w:rPr>
        <w:t>建立投资项目会商会审、联合交底工作机制。</w:t>
      </w:r>
      <w:r>
        <w:rPr>
          <w:rFonts w:eastAsia="仿宋_GB2312" w:hint="eastAsia"/>
          <w:szCs w:val="32"/>
        </w:rPr>
        <w:t>区政务服务办负责统筹推动、组织协调全区</w:t>
      </w:r>
      <w:r>
        <w:rPr>
          <w:rFonts w:ascii="仿宋_GB2312" w:eastAsia="仿宋_GB2312" w:hAnsi="仿宋" w:hint="eastAsia"/>
          <w:szCs w:val="32"/>
        </w:rPr>
        <w:t>投资项目联合交底</w:t>
      </w:r>
      <w:r>
        <w:rPr>
          <w:rFonts w:eastAsia="仿宋_GB2312" w:hint="eastAsia"/>
          <w:szCs w:val="32"/>
        </w:rPr>
        <w:t>工作，负责组织召开</w:t>
      </w:r>
      <w:r>
        <w:rPr>
          <w:rFonts w:ascii="仿宋_GB2312" w:eastAsia="仿宋_GB2312" w:hAnsi="仿宋" w:hint="eastAsia"/>
          <w:szCs w:val="32"/>
        </w:rPr>
        <w:t>投资项目会商会审专题会。</w:t>
      </w:r>
      <w:r>
        <w:rPr>
          <w:rFonts w:eastAsia="仿宋_GB2312" w:hint="eastAsia"/>
          <w:szCs w:val="32"/>
        </w:rPr>
        <w:t>各相关单位要加强对审批工作人员的培训，提升服务水平，共同推进改革工作。</w:t>
      </w:r>
    </w:p>
    <w:p w:rsidR="00FE04C7" w:rsidRDefault="00001383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华文仿宋" w:cs="楷体" w:hint="eastAsia"/>
          <w:kern w:val="0"/>
          <w:sz w:val="32"/>
          <w:szCs w:val="32"/>
        </w:rPr>
        <w:t>（二）严格责任落实。</w:t>
      </w:r>
      <w:r>
        <w:rPr>
          <w:rFonts w:ascii="仿宋_GB2312" w:eastAsia="仿宋_GB2312" w:hAnsi="仿宋" w:hint="eastAsia"/>
          <w:sz w:val="32"/>
          <w:szCs w:val="32"/>
        </w:rPr>
        <w:t>根据国务院对营商环境创新试点工作的部署要求，按照本实施方案明确的目标，严格履职尽责。区政务服务办负</w:t>
      </w:r>
      <w:r>
        <w:rPr>
          <w:rFonts w:ascii="仿宋_GB2312" w:eastAsia="仿宋_GB2312" w:hAnsi="仿宋" w:hint="eastAsia"/>
          <w:sz w:val="32"/>
          <w:szCs w:val="32"/>
        </w:rPr>
        <w:t>责</w:t>
      </w:r>
      <w:r>
        <w:rPr>
          <w:rFonts w:ascii="仿宋_GB2312" w:eastAsia="仿宋_GB2312" w:hAnsi="仿宋" w:hint="eastAsia"/>
          <w:sz w:val="32"/>
          <w:szCs w:val="32"/>
        </w:rPr>
        <w:t>牵头</w:t>
      </w:r>
      <w:r>
        <w:rPr>
          <w:rFonts w:ascii="仿宋_GB2312" w:eastAsia="仿宋_GB2312" w:hAnsi="仿宋" w:hint="eastAsia"/>
          <w:sz w:val="32"/>
          <w:szCs w:val="32"/>
        </w:rPr>
        <w:t>推动</w:t>
      </w:r>
      <w:r>
        <w:rPr>
          <w:rFonts w:ascii="仿宋_GB2312" w:eastAsia="仿宋_GB2312" w:hAnsi="仿宋" w:hint="eastAsia"/>
          <w:sz w:val="32"/>
          <w:szCs w:val="32"/>
        </w:rPr>
        <w:t>，全力抓好落实推进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各相关单位要全力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支持配合做好改革工作。</w:t>
      </w:r>
    </w:p>
    <w:p w:rsidR="00FE04C7" w:rsidRDefault="00001383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华文仿宋" w:cs="楷体" w:hint="eastAsia"/>
          <w:kern w:val="0"/>
          <w:sz w:val="32"/>
          <w:szCs w:val="32"/>
        </w:rPr>
        <w:t>（三）强化</w:t>
      </w:r>
      <w:r>
        <w:rPr>
          <w:rFonts w:ascii="楷体_GB2312" w:eastAsia="楷体_GB2312" w:hAnsi="华文仿宋" w:cs="楷体" w:hint="eastAsia"/>
          <w:kern w:val="0"/>
          <w:sz w:val="32"/>
          <w:szCs w:val="32"/>
        </w:rPr>
        <w:t>过程</w:t>
      </w:r>
      <w:r>
        <w:rPr>
          <w:rFonts w:ascii="楷体_GB2312" w:eastAsia="楷体_GB2312" w:hAnsi="华文仿宋" w:cs="楷体" w:hint="eastAsia"/>
          <w:kern w:val="0"/>
          <w:sz w:val="32"/>
          <w:szCs w:val="32"/>
        </w:rPr>
        <w:t>监管。</w:t>
      </w:r>
      <w:r>
        <w:rPr>
          <w:rFonts w:ascii="仿宋_GB2312" w:eastAsia="仿宋_GB2312" w:hint="eastAsia"/>
          <w:sz w:val="32"/>
          <w:szCs w:val="32"/>
        </w:rPr>
        <w:t>建立健全检查、记录和惩戒的</w:t>
      </w:r>
      <w:r>
        <w:rPr>
          <w:rFonts w:ascii="仿宋_GB2312" w:eastAsia="仿宋_GB2312" w:hint="eastAsia"/>
          <w:sz w:val="32"/>
          <w:szCs w:val="32"/>
        </w:rPr>
        <w:t>过程</w:t>
      </w:r>
      <w:r>
        <w:rPr>
          <w:rFonts w:ascii="仿宋_GB2312" w:eastAsia="仿宋_GB2312" w:hint="eastAsia"/>
          <w:sz w:val="32"/>
          <w:szCs w:val="32"/>
        </w:rPr>
        <w:t>监管工作，压实企业主体责任，经发现存在</w:t>
      </w:r>
      <w:r>
        <w:rPr>
          <w:rFonts w:ascii="仿宋_GB2312" w:eastAsia="仿宋_GB2312" w:hint="eastAsia"/>
          <w:sz w:val="32"/>
          <w:szCs w:val="32"/>
        </w:rPr>
        <w:t>擅自改变规划、设计方案</w:t>
      </w:r>
      <w:r>
        <w:rPr>
          <w:rFonts w:ascii="仿宋_GB2312" w:eastAsia="仿宋_GB2312" w:hint="eastAsia"/>
          <w:sz w:val="32"/>
          <w:szCs w:val="32"/>
        </w:rPr>
        <w:t>或弄虚作假等行为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，采取整改、撤销许可、记入失信名单等惩戒措施。</w:t>
      </w:r>
    </w:p>
    <w:p w:rsidR="00FE04C7" w:rsidRDefault="00001383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华文仿宋" w:cs="楷体" w:hint="eastAsia"/>
          <w:kern w:val="0"/>
          <w:sz w:val="32"/>
          <w:szCs w:val="32"/>
        </w:rPr>
        <w:t>（四）加强宣传引导。</w:t>
      </w:r>
      <w:r>
        <w:rPr>
          <w:rFonts w:ascii="仿宋_GB2312" w:eastAsia="仿宋_GB2312" w:hAnsi="仿宋" w:hint="eastAsia"/>
          <w:sz w:val="32"/>
          <w:szCs w:val="32"/>
        </w:rPr>
        <w:t>充分利用报刊、广播、电视、互联网等各类传播平台，加大宣传力度，广泛宣传报道改革举措、推进情况，增进社会公众对改革的了解和支持，提升影响力和知晓度，鼓励企业参与改革，确保改革取得实效。</w:t>
      </w:r>
    </w:p>
    <w:p w:rsidR="00FE04C7" w:rsidRDefault="00FE04C7">
      <w:pPr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FE04C7" w:rsidRDefault="00001383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申请</w:t>
      </w:r>
      <w:r>
        <w:rPr>
          <w:rFonts w:eastAsia="仿宋_GB2312" w:hint="eastAsia"/>
          <w:sz w:val="32"/>
          <w:szCs w:val="32"/>
        </w:rPr>
        <w:t>联合交底</w:t>
      </w:r>
      <w:r>
        <w:rPr>
          <w:rFonts w:eastAsia="仿宋_GB2312" w:hint="eastAsia"/>
          <w:sz w:val="32"/>
          <w:szCs w:val="32"/>
        </w:rPr>
        <w:t>承诺书</w:t>
      </w:r>
    </w:p>
    <w:p w:rsidR="00FE04C7" w:rsidRDefault="00FE04C7">
      <w:pPr>
        <w:autoSpaceDE w:val="0"/>
        <w:autoSpaceDN w:val="0"/>
        <w:adjustRightInd w:val="0"/>
        <w:snapToGrid w:val="0"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FE04C7" w:rsidRDefault="00001383">
      <w:pPr>
        <w:autoSpaceDE w:val="0"/>
        <w:autoSpaceDN w:val="0"/>
        <w:adjustRightInd w:val="0"/>
        <w:snapToGrid w:val="0"/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E04C7" w:rsidRDefault="00001383">
      <w:pPr>
        <w:autoSpaceDE w:val="0"/>
        <w:autoSpaceDN w:val="0"/>
        <w:adjustRightInd w:val="0"/>
        <w:snapToGrid w:val="0"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XXX</w:t>
      </w:r>
      <w:r>
        <w:rPr>
          <w:rFonts w:ascii="方正小标宋简体" w:eastAsia="方正小标宋简体" w:hAnsi="仿宋" w:hint="eastAsia"/>
          <w:sz w:val="44"/>
          <w:szCs w:val="44"/>
        </w:rPr>
        <w:t>项目</w:t>
      </w:r>
      <w:r>
        <w:rPr>
          <w:rFonts w:ascii="方正小标宋简体" w:eastAsia="方正小标宋简体" w:hAnsi="仿宋" w:hint="eastAsia"/>
          <w:sz w:val="44"/>
          <w:szCs w:val="44"/>
        </w:rPr>
        <w:t>申请</w:t>
      </w:r>
      <w:r>
        <w:rPr>
          <w:rFonts w:ascii="方正小标宋简体" w:eastAsia="方正小标宋简体" w:hAnsi="仿宋" w:hint="eastAsia"/>
          <w:sz w:val="44"/>
          <w:szCs w:val="44"/>
        </w:rPr>
        <w:t>联合交底</w:t>
      </w:r>
      <w:r>
        <w:rPr>
          <w:rFonts w:ascii="方正小标宋简体" w:eastAsia="方正小标宋简体" w:hAnsi="仿宋" w:hint="eastAsia"/>
          <w:sz w:val="44"/>
          <w:szCs w:val="44"/>
        </w:rPr>
        <w:t>承诺书</w:t>
      </w:r>
    </w:p>
    <w:p w:rsidR="00FE04C7" w:rsidRDefault="00FE04C7">
      <w:pPr>
        <w:autoSpaceDE w:val="0"/>
        <w:autoSpaceDN w:val="0"/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FE04C7" w:rsidRDefault="00001383"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区政务服务办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FE04C7" w:rsidRDefault="00001383">
      <w:pPr>
        <w:pStyle w:val="1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</w:t>
      </w:r>
      <w:r>
        <w:rPr>
          <w:rFonts w:ascii="仿宋_GB2312" w:eastAsia="仿宋_GB2312" w:hint="eastAsia"/>
          <w:sz w:val="32"/>
          <w:szCs w:val="32"/>
        </w:rPr>
        <w:t>已确定投资意向，</w:t>
      </w:r>
      <w:r>
        <w:rPr>
          <w:rFonts w:ascii="仿宋_GB2312" w:eastAsia="仿宋_GB2312" w:hint="eastAsia"/>
          <w:sz w:val="32"/>
          <w:szCs w:val="32"/>
        </w:rPr>
        <w:t>为推进项目尽快开工，愿开展前期工作及办理相关手续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我公司</w:t>
      </w:r>
      <w:r>
        <w:rPr>
          <w:rFonts w:ascii="仿宋_GB2312" w:eastAsia="仿宋_GB2312" w:hint="eastAsia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E04C7" w:rsidRDefault="00001383">
      <w:pPr>
        <w:pStyle w:val="1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我公司信用良好，并已认真学习了相关法律法规规章和规范性文件，了解了各项行政许可的有关要求，对有关规定的内容已经知晓和全面理解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E04C7" w:rsidRDefault="00001383">
      <w:pPr>
        <w:pStyle w:val="1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我公司</w:t>
      </w:r>
      <w:r>
        <w:rPr>
          <w:rFonts w:eastAsia="仿宋_GB2312" w:hint="eastAsia"/>
          <w:sz w:val="32"/>
          <w:szCs w:val="32"/>
        </w:rPr>
        <w:t>将严格执行联合交底意见，</w:t>
      </w:r>
      <w:r>
        <w:rPr>
          <w:rFonts w:eastAsia="仿宋_GB2312"/>
          <w:sz w:val="32"/>
          <w:szCs w:val="32"/>
        </w:rPr>
        <w:t>先行开展总平面图及规</w:t>
      </w:r>
      <w:r>
        <w:rPr>
          <w:rFonts w:eastAsia="仿宋_GB2312"/>
          <w:sz w:val="32"/>
          <w:szCs w:val="32"/>
        </w:rPr>
        <w:lastRenderedPageBreak/>
        <w:t>划方案设计工作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施工图设计工作</w:t>
      </w:r>
      <w:r>
        <w:rPr>
          <w:rFonts w:eastAsia="仿宋_GB2312" w:hint="eastAsia"/>
          <w:sz w:val="32"/>
          <w:szCs w:val="32"/>
        </w:rPr>
        <w:t>、评估评审事项准备工作。</w:t>
      </w:r>
      <w:r>
        <w:rPr>
          <w:rFonts w:eastAsia="仿宋_GB2312"/>
          <w:sz w:val="32"/>
          <w:szCs w:val="32"/>
        </w:rPr>
        <w:t>若因</w:t>
      </w:r>
      <w:r>
        <w:rPr>
          <w:rFonts w:eastAsia="仿宋_GB2312" w:hint="eastAsia"/>
          <w:sz w:val="32"/>
          <w:szCs w:val="32"/>
        </w:rPr>
        <w:t>政策受限、</w:t>
      </w:r>
      <w:r>
        <w:rPr>
          <w:rFonts w:eastAsia="仿宋_GB2312"/>
          <w:sz w:val="32"/>
          <w:szCs w:val="32"/>
        </w:rPr>
        <w:t>未能竞得土地</w:t>
      </w:r>
      <w:r>
        <w:rPr>
          <w:rFonts w:eastAsia="仿宋_GB2312" w:hint="eastAsia"/>
          <w:sz w:val="32"/>
          <w:szCs w:val="32"/>
        </w:rPr>
        <w:t>等原因导致项目无法落地</w:t>
      </w:r>
      <w:r>
        <w:rPr>
          <w:rFonts w:eastAsia="仿宋_GB2312"/>
          <w:sz w:val="32"/>
          <w:szCs w:val="32"/>
        </w:rPr>
        <w:t>，我公司不以已</w:t>
      </w:r>
      <w:r>
        <w:rPr>
          <w:rFonts w:eastAsia="仿宋_GB2312" w:hint="eastAsia"/>
          <w:sz w:val="32"/>
          <w:szCs w:val="32"/>
        </w:rPr>
        <w:t>发生</w:t>
      </w:r>
      <w:r>
        <w:rPr>
          <w:rFonts w:eastAsia="仿宋_GB2312"/>
          <w:sz w:val="32"/>
          <w:szCs w:val="32"/>
        </w:rPr>
        <w:t>的各项前期</w:t>
      </w:r>
      <w:r>
        <w:rPr>
          <w:rFonts w:eastAsia="仿宋_GB2312" w:hint="eastAsia"/>
          <w:sz w:val="32"/>
          <w:szCs w:val="32"/>
        </w:rPr>
        <w:t>投入</w:t>
      </w:r>
      <w:r>
        <w:rPr>
          <w:rFonts w:eastAsia="仿宋_GB2312"/>
          <w:sz w:val="32"/>
          <w:szCs w:val="32"/>
        </w:rPr>
        <w:t>主张任何权益。</w:t>
      </w:r>
    </w:p>
    <w:p w:rsidR="00FE04C7" w:rsidRDefault="00001383">
      <w:pPr>
        <w:pStyle w:val="1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我公司将严格执行审查意见，按照相关规定开展</w:t>
      </w:r>
      <w:r>
        <w:rPr>
          <w:rFonts w:ascii="仿宋_GB2312" w:eastAsia="仿宋_GB2312" w:hint="eastAsia"/>
          <w:sz w:val="32"/>
          <w:szCs w:val="32"/>
        </w:rPr>
        <w:t>各项手续</w:t>
      </w:r>
      <w:r>
        <w:rPr>
          <w:rFonts w:ascii="仿宋_GB2312" w:eastAsia="仿宋_GB2312" w:hint="eastAsia"/>
          <w:sz w:val="32"/>
          <w:szCs w:val="32"/>
        </w:rPr>
        <w:t>的办理</w:t>
      </w:r>
      <w:r>
        <w:rPr>
          <w:rFonts w:ascii="仿宋_GB2312" w:eastAsia="仿宋_GB2312" w:hint="eastAsia"/>
          <w:sz w:val="32"/>
          <w:szCs w:val="32"/>
        </w:rPr>
        <w:t>，保证项目合法合规。</w:t>
      </w:r>
    </w:p>
    <w:p w:rsidR="00FE04C7" w:rsidRDefault="00001383">
      <w:pPr>
        <w:pStyle w:val="1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因违反有关法律法规及以上承诺，所造成的经济和法律后果，由我公司自行承担。</w:t>
      </w:r>
    </w:p>
    <w:p w:rsidR="00FE04C7" w:rsidRDefault="00FE04C7">
      <w:pPr>
        <w:pStyle w:val="1"/>
        <w:spacing w:line="560" w:lineRule="exact"/>
        <w:rPr>
          <w:rFonts w:ascii="仿宋_GB2312" w:eastAsia="仿宋_GB2312"/>
          <w:sz w:val="32"/>
          <w:szCs w:val="32"/>
        </w:rPr>
      </w:pPr>
    </w:p>
    <w:p w:rsidR="00FE04C7" w:rsidRDefault="00FE04C7">
      <w:pPr>
        <w:pStyle w:val="1"/>
        <w:spacing w:line="560" w:lineRule="exact"/>
        <w:rPr>
          <w:rFonts w:ascii="仿宋_GB2312" w:eastAsia="仿宋_GB2312"/>
          <w:sz w:val="32"/>
          <w:szCs w:val="32"/>
        </w:rPr>
      </w:pPr>
    </w:p>
    <w:p w:rsidR="00FE04C7" w:rsidRDefault="00001383">
      <w:pPr>
        <w:pStyle w:val="1"/>
        <w:wordWrap w:val="0"/>
        <w:spacing w:line="560" w:lineRule="exact"/>
        <w:ind w:rightChars="800" w:right="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承诺人（签字、盖章）：</w:t>
      </w:r>
    </w:p>
    <w:p w:rsidR="00FE04C7" w:rsidRDefault="00001383">
      <w:pPr>
        <w:spacing w:line="560" w:lineRule="exact"/>
        <w:jc w:val="center"/>
        <w:rPr>
          <w:rFonts w:ascii="仿宋_GB2312" w:eastAsia="仿宋_GB2312"/>
          <w:sz w:val="10"/>
          <w:szCs w:val="10"/>
        </w:rPr>
      </w:pPr>
      <w:r>
        <w:rPr>
          <w:rFonts w:ascii="仿宋_GB2312" w:eastAsia="仿宋_GB2312" w:hint="eastAsia"/>
          <w:sz w:val="32"/>
          <w:szCs w:val="32"/>
        </w:rPr>
        <w:t>承诺时间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E04C7" w:rsidRDefault="00FE04C7">
      <w:pPr>
        <w:rPr>
          <w:rFonts w:ascii="仿宋_GB2312" w:eastAsia="仿宋_GB2312" w:hAnsi="仿宋"/>
          <w:sz w:val="32"/>
          <w:szCs w:val="32"/>
        </w:rPr>
      </w:pPr>
      <w:r w:rsidRPr="00FE04C7">
        <w:rPr>
          <w:rFonts w:ascii="黑体" w:eastAsia="黑体" w:hAnsi="仿宋"/>
          <w:sz w:val="32"/>
          <w:szCs w:val="32"/>
        </w:rPr>
        <w:pict>
          <v:line id="_x0000_s1028" style="position:absolute;left:0;text-align:left;z-index:251657728" from="-.1pt,30.5pt" to="442.3pt,30.5pt" strokeweight="1.25pt"/>
        </w:pict>
      </w:r>
      <w:r w:rsidRPr="00FE04C7">
        <w:rPr>
          <w:rFonts w:ascii="黑体" w:eastAsia="黑体" w:hAnsi="仿宋"/>
          <w:sz w:val="32"/>
          <w:szCs w:val="32"/>
        </w:rPr>
        <w:pict>
          <v:line id="_x0000_s1029" style="position:absolute;left:0;text-align:left;z-index:251658752" from="-.1pt,.75pt" to="442.3pt,.75pt" strokeweight="1.25pt"/>
        </w:pict>
      </w:r>
      <w:r w:rsidR="00001383">
        <w:rPr>
          <w:rFonts w:ascii="仿宋_GB2312" w:eastAsia="仿宋_GB2312" w:hAnsi="仿宋" w:hint="eastAsia"/>
          <w:sz w:val="28"/>
          <w:szCs w:val="28"/>
        </w:rPr>
        <w:t>天津市滨海新区人民政府政务服务办综合室</w:t>
      </w:r>
      <w:r w:rsidR="00001383">
        <w:rPr>
          <w:rFonts w:ascii="仿宋_GB2312" w:eastAsia="仿宋_GB2312" w:hAnsi="仿宋" w:hint="eastAsia"/>
          <w:sz w:val="28"/>
          <w:szCs w:val="28"/>
        </w:rPr>
        <w:t xml:space="preserve"> 20</w:t>
      </w:r>
      <w:r w:rsidR="00001383">
        <w:rPr>
          <w:rFonts w:ascii="仿宋_GB2312" w:eastAsia="仿宋_GB2312" w:hAnsi="仿宋" w:hint="eastAsia"/>
          <w:sz w:val="28"/>
          <w:szCs w:val="28"/>
        </w:rPr>
        <w:t>22</w:t>
      </w:r>
      <w:r w:rsidR="00001383">
        <w:rPr>
          <w:rFonts w:ascii="仿宋_GB2312" w:eastAsia="仿宋_GB2312" w:hAnsi="仿宋" w:hint="eastAsia"/>
          <w:sz w:val="28"/>
          <w:szCs w:val="28"/>
        </w:rPr>
        <w:t>年</w:t>
      </w:r>
      <w:r w:rsidR="00001383">
        <w:rPr>
          <w:rFonts w:ascii="仿宋_GB2312" w:eastAsia="仿宋_GB2312" w:hAnsi="仿宋" w:hint="eastAsia"/>
          <w:sz w:val="28"/>
          <w:szCs w:val="28"/>
        </w:rPr>
        <w:t>5</w:t>
      </w:r>
      <w:r w:rsidR="00001383">
        <w:rPr>
          <w:rFonts w:ascii="仿宋_GB2312" w:eastAsia="仿宋_GB2312" w:hAnsi="仿宋" w:hint="eastAsia"/>
          <w:sz w:val="28"/>
          <w:szCs w:val="28"/>
        </w:rPr>
        <w:t>月</w:t>
      </w:r>
      <w:r w:rsidR="00001383">
        <w:rPr>
          <w:rFonts w:ascii="仿宋_GB2312" w:eastAsia="仿宋_GB2312" w:hAnsi="仿宋" w:hint="eastAsia"/>
          <w:sz w:val="28"/>
          <w:szCs w:val="28"/>
        </w:rPr>
        <w:t>31</w:t>
      </w:r>
      <w:r w:rsidR="00001383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FE04C7" w:rsidSect="00FE04C7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20"/>
      <w:docGrid w:type="lines" w:linePitch="28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383" w:rsidRDefault="00001383" w:rsidP="00FE04C7">
      <w:r>
        <w:separator/>
      </w:r>
    </w:p>
  </w:endnote>
  <w:endnote w:type="continuationSeparator" w:id="1">
    <w:p w:rsidR="00001383" w:rsidRDefault="00001383" w:rsidP="00FE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方正仿宋_GBK"/>
    <w:charset w:val="00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C7" w:rsidRDefault="00001383">
    <w:pPr>
      <w:pStyle w:val="a7"/>
      <w:framePr w:w="401" w:wrap="around" w:vAnchor="text" w:hAnchor="margin" w:xAlign="outside" w:y="4"/>
      <w:rPr>
        <w:rStyle w:val="aa"/>
        <w:rFonts w:ascii="Calibri" w:hAnsi="Calibri"/>
        <w:sz w:val="28"/>
        <w:szCs w:val="28"/>
      </w:rPr>
    </w:pPr>
    <w:r>
      <w:rPr>
        <w:rStyle w:val="aa"/>
        <w:rFonts w:ascii="Calibri" w:hAnsi="Calibri"/>
        <w:sz w:val="28"/>
        <w:szCs w:val="28"/>
      </w:rPr>
      <w:t>-</w:t>
    </w:r>
    <w:r w:rsidR="00FE04C7">
      <w:rPr>
        <w:rStyle w:val="aa"/>
        <w:rFonts w:ascii="Calibri" w:hAnsi="Calibri"/>
        <w:sz w:val="28"/>
        <w:szCs w:val="28"/>
      </w:rPr>
      <w:fldChar w:fldCharType="begin"/>
    </w:r>
    <w:r>
      <w:rPr>
        <w:rStyle w:val="aa"/>
        <w:rFonts w:ascii="Calibri" w:hAnsi="Calibri"/>
        <w:sz w:val="28"/>
        <w:szCs w:val="28"/>
      </w:rPr>
      <w:instrText xml:space="preserve">PAGE  </w:instrText>
    </w:r>
    <w:r w:rsidR="00FE04C7">
      <w:rPr>
        <w:rStyle w:val="aa"/>
        <w:rFonts w:ascii="Calibri" w:hAnsi="Calibri"/>
        <w:sz w:val="28"/>
        <w:szCs w:val="28"/>
      </w:rPr>
      <w:fldChar w:fldCharType="separate"/>
    </w:r>
    <w:r w:rsidR="00636113">
      <w:rPr>
        <w:rStyle w:val="aa"/>
        <w:rFonts w:ascii="Calibri" w:hAnsi="Calibri"/>
        <w:noProof/>
        <w:sz w:val="28"/>
        <w:szCs w:val="28"/>
      </w:rPr>
      <w:t>2</w:t>
    </w:r>
    <w:r w:rsidR="00FE04C7">
      <w:rPr>
        <w:rStyle w:val="aa"/>
        <w:rFonts w:ascii="Calibri" w:hAnsi="Calibri"/>
        <w:sz w:val="28"/>
        <w:szCs w:val="28"/>
      </w:rPr>
      <w:fldChar w:fldCharType="end"/>
    </w:r>
    <w:r>
      <w:rPr>
        <w:rStyle w:val="aa"/>
        <w:rFonts w:ascii="Calibri" w:hAnsi="Calibri"/>
        <w:sz w:val="28"/>
        <w:szCs w:val="28"/>
      </w:rPr>
      <w:t>-</w:t>
    </w:r>
  </w:p>
  <w:p w:rsidR="00FE04C7" w:rsidRDefault="00FE04C7">
    <w:pPr>
      <w:pStyle w:val="a7"/>
      <w:ind w:right="360" w:firstLineChars="50" w:firstLine="14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C7" w:rsidRDefault="00001383">
    <w:pPr>
      <w:pStyle w:val="a7"/>
      <w:framePr w:w="661" w:wrap="around" w:vAnchor="text" w:hAnchor="page" w:x="9631" w:y="49"/>
      <w:ind w:firstLineChars="50" w:firstLine="140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t>-</w:t>
    </w:r>
    <w:r w:rsidR="00FE04C7"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 w:rsidR="00FE04C7">
      <w:rPr>
        <w:rStyle w:val="aa"/>
        <w:rFonts w:ascii="宋体" w:hAnsi="宋体"/>
        <w:sz w:val="28"/>
        <w:szCs w:val="28"/>
      </w:rPr>
      <w:fldChar w:fldCharType="separate"/>
    </w:r>
    <w:r w:rsidR="00636113">
      <w:rPr>
        <w:rStyle w:val="aa"/>
        <w:rFonts w:ascii="宋体" w:hAnsi="宋体"/>
        <w:noProof/>
        <w:sz w:val="28"/>
        <w:szCs w:val="28"/>
      </w:rPr>
      <w:t>1</w:t>
    </w:r>
    <w:r w:rsidR="00FE04C7"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/>
        <w:sz w:val="28"/>
        <w:szCs w:val="28"/>
      </w:rPr>
      <w:t>-</w:t>
    </w:r>
  </w:p>
  <w:p w:rsidR="00FE04C7" w:rsidRDefault="00FE04C7">
    <w:pPr>
      <w:pStyle w:val="a7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383" w:rsidRDefault="00001383" w:rsidP="00FE04C7">
      <w:r>
        <w:separator/>
      </w:r>
    </w:p>
  </w:footnote>
  <w:footnote w:type="continuationSeparator" w:id="1">
    <w:p w:rsidR="00001383" w:rsidRDefault="00001383" w:rsidP="00FE0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evenAndOddHeaders/>
  <w:drawingGridHorizontalSpacing w:val="201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A77D2E19"/>
    <w:rsid w:val="AAFF2C2C"/>
    <w:rsid w:val="BBE77114"/>
    <w:rsid w:val="BFBFC902"/>
    <w:rsid w:val="BFDF8F86"/>
    <w:rsid w:val="D3B85C38"/>
    <w:rsid w:val="D7FF1D43"/>
    <w:rsid w:val="DE7C687C"/>
    <w:rsid w:val="DF677745"/>
    <w:rsid w:val="E39F8548"/>
    <w:rsid w:val="E6CFD6AA"/>
    <w:rsid w:val="E9D41DDA"/>
    <w:rsid w:val="EEEF1155"/>
    <w:rsid w:val="EFB7C14E"/>
    <w:rsid w:val="EFBDE503"/>
    <w:rsid w:val="F3FE0255"/>
    <w:rsid w:val="F7EF3380"/>
    <w:rsid w:val="FBDAD817"/>
    <w:rsid w:val="FCB61C34"/>
    <w:rsid w:val="FCF176B1"/>
    <w:rsid w:val="FEFC47AE"/>
    <w:rsid w:val="FFB996FD"/>
    <w:rsid w:val="FFF97377"/>
    <w:rsid w:val="FFFE975E"/>
    <w:rsid w:val="00000F20"/>
    <w:rsid w:val="00001383"/>
    <w:rsid w:val="000047C6"/>
    <w:rsid w:val="0002351A"/>
    <w:rsid w:val="000C55D5"/>
    <w:rsid w:val="000E6898"/>
    <w:rsid w:val="00172A27"/>
    <w:rsid w:val="002139D2"/>
    <w:rsid w:val="0026437C"/>
    <w:rsid w:val="00270A09"/>
    <w:rsid w:val="00286EEE"/>
    <w:rsid w:val="002A50C9"/>
    <w:rsid w:val="002C4097"/>
    <w:rsid w:val="003B11BD"/>
    <w:rsid w:val="003B5AA8"/>
    <w:rsid w:val="003C7618"/>
    <w:rsid w:val="003E14D5"/>
    <w:rsid w:val="004175AB"/>
    <w:rsid w:val="00425787"/>
    <w:rsid w:val="00435A13"/>
    <w:rsid w:val="0046035C"/>
    <w:rsid w:val="00487E51"/>
    <w:rsid w:val="004B50D7"/>
    <w:rsid w:val="005668DC"/>
    <w:rsid w:val="00592030"/>
    <w:rsid w:val="00603927"/>
    <w:rsid w:val="00606629"/>
    <w:rsid w:val="006345C1"/>
    <w:rsid w:val="00636113"/>
    <w:rsid w:val="00660D82"/>
    <w:rsid w:val="006B35B7"/>
    <w:rsid w:val="00775E31"/>
    <w:rsid w:val="00786017"/>
    <w:rsid w:val="007C2624"/>
    <w:rsid w:val="007E15E5"/>
    <w:rsid w:val="007E3A2B"/>
    <w:rsid w:val="007E53CE"/>
    <w:rsid w:val="0082736D"/>
    <w:rsid w:val="00833E29"/>
    <w:rsid w:val="008536DA"/>
    <w:rsid w:val="0085732C"/>
    <w:rsid w:val="00886CC9"/>
    <w:rsid w:val="00896C51"/>
    <w:rsid w:val="008A0A27"/>
    <w:rsid w:val="00973629"/>
    <w:rsid w:val="0098400A"/>
    <w:rsid w:val="009D430D"/>
    <w:rsid w:val="009F0934"/>
    <w:rsid w:val="009F55A9"/>
    <w:rsid w:val="00A10989"/>
    <w:rsid w:val="00A327DA"/>
    <w:rsid w:val="00A37CFF"/>
    <w:rsid w:val="00A545BC"/>
    <w:rsid w:val="00A954E4"/>
    <w:rsid w:val="00B57537"/>
    <w:rsid w:val="00B61BF9"/>
    <w:rsid w:val="00B638F8"/>
    <w:rsid w:val="00BA64EB"/>
    <w:rsid w:val="00BC79FE"/>
    <w:rsid w:val="00C03E6F"/>
    <w:rsid w:val="00C61B22"/>
    <w:rsid w:val="00CF668D"/>
    <w:rsid w:val="00D003A1"/>
    <w:rsid w:val="00D43918"/>
    <w:rsid w:val="00D740FC"/>
    <w:rsid w:val="00DA0B94"/>
    <w:rsid w:val="00E23EB3"/>
    <w:rsid w:val="00E434B1"/>
    <w:rsid w:val="00E9308E"/>
    <w:rsid w:val="00EA03C1"/>
    <w:rsid w:val="00EA23BF"/>
    <w:rsid w:val="00F173C4"/>
    <w:rsid w:val="00F17709"/>
    <w:rsid w:val="00F84EC7"/>
    <w:rsid w:val="00FB4FE1"/>
    <w:rsid w:val="00FC7DAC"/>
    <w:rsid w:val="00FE04C7"/>
    <w:rsid w:val="00FF3B6F"/>
    <w:rsid w:val="1BFF5CBE"/>
    <w:rsid w:val="1FFD85C5"/>
    <w:rsid w:val="2BF7B232"/>
    <w:rsid w:val="2F6CFC51"/>
    <w:rsid w:val="3BB942B6"/>
    <w:rsid w:val="3DEF1E2D"/>
    <w:rsid w:val="3EFF36A6"/>
    <w:rsid w:val="3EFFBE0F"/>
    <w:rsid w:val="3FD2FD93"/>
    <w:rsid w:val="56AFAE34"/>
    <w:rsid w:val="5F010070"/>
    <w:rsid w:val="5FDEA237"/>
    <w:rsid w:val="62E9F17E"/>
    <w:rsid w:val="65FFB34A"/>
    <w:rsid w:val="69FECBC6"/>
    <w:rsid w:val="6FFB54E6"/>
    <w:rsid w:val="72F171CE"/>
    <w:rsid w:val="7769B1FE"/>
    <w:rsid w:val="7BFCA187"/>
    <w:rsid w:val="7D75FF9E"/>
    <w:rsid w:val="7DDBB9FE"/>
    <w:rsid w:val="7F67D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Body Text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4C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E04C7"/>
    <w:pPr>
      <w:spacing w:before="260" w:after="260"/>
      <w:jc w:val="left"/>
      <w:outlineLvl w:val="1"/>
    </w:pPr>
    <w:rPr>
      <w:rFonts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FE04C7"/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4">
    <w:name w:val="Closing"/>
    <w:basedOn w:val="a"/>
    <w:qFormat/>
    <w:rsid w:val="00FE04C7"/>
    <w:pPr>
      <w:ind w:leftChars="2100" w:left="100"/>
    </w:pPr>
    <w:rPr>
      <w:rFonts w:ascii="仿宋_GB2312" w:eastAsia="仿宋_GB2312" w:hAnsi="宋体"/>
      <w:color w:val="000000"/>
      <w:sz w:val="28"/>
      <w:szCs w:val="28"/>
      <w:lang w:val="en-GB"/>
    </w:rPr>
  </w:style>
  <w:style w:type="paragraph" w:styleId="a5">
    <w:name w:val="Body Text"/>
    <w:basedOn w:val="a"/>
    <w:qFormat/>
    <w:rsid w:val="00FE04C7"/>
    <w:rPr>
      <w:rFonts w:eastAsia="文星仿宋"/>
      <w:sz w:val="32"/>
    </w:rPr>
  </w:style>
  <w:style w:type="paragraph" w:styleId="a6">
    <w:name w:val="Balloon Text"/>
    <w:basedOn w:val="a"/>
    <w:qFormat/>
    <w:rsid w:val="00FE04C7"/>
    <w:rPr>
      <w:sz w:val="18"/>
      <w:szCs w:val="18"/>
    </w:rPr>
  </w:style>
  <w:style w:type="paragraph" w:styleId="a7">
    <w:name w:val="footer"/>
    <w:basedOn w:val="a"/>
    <w:link w:val="Char"/>
    <w:qFormat/>
    <w:rsid w:val="00FE0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FE0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0"/>
    <w:qFormat/>
    <w:rsid w:val="00FE04C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page number"/>
    <w:basedOn w:val="a0"/>
    <w:qFormat/>
    <w:rsid w:val="00FE04C7"/>
  </w:style>
  <w:style w:type="character" w:styleId="ab">
    <w:name w:val="FollowedHyperlink"/>
    <w:qFormat/>
    <w:rsid w:val="00FE04C7"/>
    <w:rPr>
      <w:color w:val="800080"/>
      <w:u w:val="single"/>
    </w:rPr>
  </w:style>
  <w:style w:type="character" w:styleId="ac">
    <w:name w:val="Hyperlink"/>
    <w:qFormat/>
    <w:rsid w:val="00FE04C7"/>
    <w:rPr>
      <w:color w:val="0000FF"/>
      <w:u w:val="single"/>
    </w:rPr>
  </w:style>
  <w:style w:type="paragraph" w:customStyle="1" w:styleId="Style2">
    <w:name w:val="_Style 2"/>
    <w:basedOn w:val="a"/>
    <w:qFormat/>
    <w:rsid w:val="00FE04C7"/>
  </w:style>
  <w:style w:type="paragraph" w:customStyle="1" w:styleId="Standard">
    <w:name w:val="Standard"/>
    <w:qFormat/>
    <w:rsid w:val="00FE04C7"/>
    <w:pPr>
      <w:suppressAutoHyphens/>
      <w:autoSpaceDN w:val="0"/>
      <w:textAlignment w:val="baseline"/>
    </w:pPr>
    <w:rPr>
      <w:rFonts w:cs="Arial Unicode MS"/>
      <w:kern w:val="3"/>
      <w:sz w:val="24"/>
      <w:szCs w:val="24"/>
      <w:lang w:bidi="hi-IN"/>
    </w:rPr>
  </w:style>
  <w:style w:type="paragraph" w:customStyle="1" w:styleId="ParaCharCharCharCharCharCharChar">
    <w:name w:val="默认段落字体 Para Char Char Char Char Char Char Char"/>
    <w:basedOn w:val="a"/>
    <w:qFormat/>
    <w:rsid w:val="00FE04C7"/>
    <w:rPr>
      <w:rFonts w:ascii="Tahoma" w:hAnsi="Tahoma"/>
      <w:sz w:val="24"/>
      <w:szCs w:val="20"/>
    </w:rPr>
  </w:style>
  <w:style w:type="character" w:customStyle="1" w:styleId="Char0">
    <w:name w:val="标题 Char"/>
    <w:link w:val="a9"/>
    <w:qFormat/>
    <w:rsid w:val="00FE04C7"/>
    <w:rPr>
      <w:rFonts w:ascii="Cambria" w:eastAsia="宋体" w:hAnsi="Cambria"/>
      <w:b/>
      <w:bCs/>
      <w:kern w:val="2"/>
      <w:sz w:val="32"/>
      <w:szCs w:val="32"/>
      <w:lang w:bidi="ar-SA"/>
    </w:rPr>
  </w:style>
  <w:style w:type="character" w:customStyle="1" w:styleId="Char">
    <w:name w:val="页脚 Char"/>
    <w:link w:val="a7"/>
    <w:qFormat/>
    <w:rsid w:val="00FE04C7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">
    <w:name w:val="无间隔1"/>
    <w:uiPriority w:val="1"/>
    <w:qFormat/>
    <w:rsid w:val="00FE04C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313</Words>
  <Characters>1790</Characters>
  <Application>Microsoft Office Word</Application>
  <DocSecurity>0</DocSecurity>
  <Lines>14</Lines>
  <Paragraphs>4</Paragraphs>
  <ScaleCrop>false</ScaleCrop>
  <Company>微软中国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张殿武</dc:creator>
  <cp:lastModifiedBy>文字审修</cp:lastModifiedBy>
  <cp:revision>4</cp:revision>
  <cp:lastPrinted>2014-07-17T12:32:00Z</cp:lastPrinted>
  <dcterms:created xsi:type="dcterms:W3CDTF">2020-10-20T14:34:00Z</dcterms:created>
  <dcterms:modified xsi:type="dcterms:W3CDTF">2022-06-02T08:35:00Z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