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76</w:t>
      </w:r>
      <w:r>
        <w:rPr>
          <w:rFonts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700" w:lineRule="exact"/>
        <w:jc w:val="center"/>
        <w:rPr>
          <w:rFonts w:hint="default" w:eastAsia="方正小标宋简体"/>
          <w:color w:val="000000"/>
          <w:sz w:val="44"/>
          <w:lang w:val="en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hint="default" w:eastAsia="方正小标宋简体"/>
          <w:color w:val="000000"/>
          <w:sz w:val="44"/>
          <w:lang w:val="en"/>
        </w:rPr>
        <w:t>中国石油集团工程技术研究有限公司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default" w:eastAsia="方正小标宋简体"/>
          <w:color w:val="000000"/>
          <w:sz w:val="44"/>
          <w:lang w:val="en"/>
        </w:rPr>
        <w:t>新建直燃机项目</w:t>
      </w: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0" w:lineRule="atLeast"/>
        <w:jc w:val="center"/>
        <w:rPr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 w:eastAsia="zh-CN"/>
        </w:rPr>
        <w:t>中国石油集团工程技术研究有限公司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呈报的《</w:t>
      </w:r>
      <w:r>
        <w:rPr>
          <w:rFonts w:hint="eastAsia" w:eastAsia="仿宋_GB2312"/>
          <w:sz w:val="32"/>
          <w:szCs w:val="32"/>
          <w:lang w:eastAsia="zh-CN"/>
        </w:rPr>
        <w:t>关于</w:t>
      </w:r>
      <w:r>
        <w:rPr>
          <w:rFonts w:hint="default" w:eastAsia="仿宋_GB2312"/>
          <w:sz w:val="32"/>
          <w:szCs w:val="32"/>
          <w:lang w:val="en" w:eastAsia="zh-CN"/>
        </w:rPr>
        <w:t>中国石油集团工程技术研究有限公司新建直燃机项目</w:t>
      </w:r>
      <w:r>
        <w:rPr>
          <w:rFonts w:hint="eastAsia" w:eastAsia="仿宋_GB2312"/>
          <w:sz w:val="32"/>
          <w:szCs w:val="32"/>
          <w:lang w:eastAsia="zh-CN"/>
        </w:rPr>
        <w:t>的申请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天津科理环境科技有限公司编制的</w:t>
      </w:r>
      <w:r>
        <w:rPr>
          <w:rFonts w:eastAsia="仿宋_GB2312"/>
          <w:sz w:val="32"/>
          <w:szCs w:val="32"/>
        </w:rPr>
        <w:t>《</w:t>
      </w:r>
      <w:r>
        <w:rPr>
          <w:rFonts w:hint="default" w:eastAsia="仿宋_GB2312"/>
          <w:sz w:val="32"/>
          <w:szCs w:val="32"/>
          <w:lang w:val="en" w:eastAsia="zh-CN"/>
        </w:rPr>
        <w:t>中国石油集团工程技术研究有限公司新建直燃机项目</w:t>
      </w:r>
      <w:r>
        <w:rPr>
          <w:rFonts w:hint="eastAsia"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你公司位于滨海新区津塘公路</w:t>
      </w:r>
      <w:r>
        <w:rPr>
          <w:rFonts w:hint="eastAsia" w:eastAsia="仿宋_GB2312"/>
          <w:bCs/>
          <w:sz w:val="32"/>
          <w:szCs w:val="32"/>
          <w:lang w:val="en-US" w:eastAsia="zh-CN"/>
        </w:rPr>
        <w:t>40号。2021年你公司将院内原有的燃气锅炉及其相关设备全部拆除，并新建了一套溴化锂直燃机机组，总容量为2.4MW，为院内建筑提供供暖及制冷服务。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项目总投资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196</w:t>
      </w:r>
      <w:r>
        <w:rPr>
          <w:rFonts w:hint="eastAsia" w:eastAsia="仿宋_GB2312"/>
          <w:bCs/>
          <w:sz w:val="32"/>
          <w:szCs w:val="32"/>
        </w:rPr>
        <w:t>万元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该项目未履行环评审批手续</w:t>
      </w:r>
      <w:r>
        <w:rPr>
          <w:rFonts w:hint="eastAsia" w:eastAsia="仿宋_GB2312" w:cs="Times New Roman"/>
          <w:sz w:val="32"/>
          <w:szCs w:val="32"/>
          <w:lang w:eastAsia="zh-CN"/>
        </w:rPr>
        <w:t>，你公司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关于建设项目未批先建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违法行为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法律适用问题的意见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》（环政法函〔2018〕31号），委托编制了环境影响报告，报送我局审查。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2022年3月11日</w:t>
      </w:r>
      <w:r>
        <w:rPr>
          <w:rFonts w:hint="eastAsia"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日，我局将该项目</w:t>
      </w:r>
      <w:r>
        <w:rPr>
          <w:rFonts w:hint="eastAsia" w:eastAsia="仿宋_GB2312"/>
          <w:sz w:val="32"/>
          <w:szCs w:val="32"/>
          <w:lang w:eastAsia="zh-CN"/>
        </w:rPr>
        <w:t>环评的</w:t>
      </w:r>
      <w:r>
        <w:rPr>
          <w:rFonts w:hint="eastAsia"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</w:t>
      </w:r>
      <w:r>
        <w:rPr>
          <w:rFonts w:hint="eastAsia" w:eastAsia="仿宋_GB2312"/>
          <w:sz w:val="32"/>
          <w:szCs w:val="32"/>
          <w:lang w:eastAsia="zh-CN"/>
        </w:rPr>
        <w:t>示；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  <w:lang w:eastAsia="zh-CN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  <w:lang w:eastAsia="zh-CN"/>
        </w:rPr>
        <w:t>日，将</w:t>
      </w:r>
      <w:r>
        <w:rPr>
          <w:rFonts w:hint="eastAsia"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  <w:lang w:eastAsia="zh-CN"/>
        </w:rPr>
        <w:t>环评的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公示；根据公众反馈意见情况及环评报告结论，在严格落实环评报告所提出的各项污染防治措施、确保各类污染物稳定达标的前提下，该</w:t>
      </w:r>
      <w:r>
        <w:rPr>
          <w:rFonts w:hint="eastAsia" w:eastAsia="仿宋_GB2312"/>
          <w:sz w:val="32"/>
          <w:szCs w:val="32"/>
        </w:rPr>
        <w:t>项目具备环境可行性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落实各项环保治理措施，</w:t>
      </w:r>
      <w:r>
        <w:rPr>
          <w:rFonts w:eastAsia="仿宋_GB2312"/>
          <w:sz w:val="32"/>
          <w:szCs w:val="32"/>
        </w:rPr>
        <w:t>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直燃机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以管道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天然气为燃料，并配低氮燃烧器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燃烧废气由一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排气筒达标排放。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  <w:lang w:eastAsia="zh-CN"/>
        </w:rPr>
        <w:t>冷却塔排水和软水制备系统反冲洗排水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通过市政污水管网</w:t>
      </w:r>
      <w:r>
        <w:rPr>
          <w:rFonts w:hint="eastAsia" w:eastAsia="仿宋_GB2312"/>
          <w:bCs/>
          <w:sz w:val="32"/>
          <w:szCs w:val="32"/>
        </w:rPr>
        <w:t>排入</w:t>
      </w:r>
      <w:r>
        <w:rPr>
          <w:rFonts w:hint="eastAsia" w:eastAsia="仿宋_GB2312"/>
          <w:bCs/>
          <w:sz w:val="32"/>
          <w:szCs w:val="32"/>
          <w:lang w:eastAsia="zh-CN"/>
        </w:rPr>
        <w:t>塘沽新河污水处理厂</w:t>
      </w:r>
      <w:r>
        <w:rPr>
          <w:rFonts w:hint="eastAsia" w:eastAsia="仿宋_GB2312"/>
          <w:bCs/>
          <w:sz w:val="32"/>
          <w:szCs w:val="32"/>
        </w:rPr>
        <w:t>处理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eastAsia="仿宋_GB2312"/>
          <w:bCs/>
          <w:sz w:val="32"/>
          <w:szCs w:val="32"/>
        </w:rPr>
        <w:t>选用低噪声设备，并采取</w:t>
      </w:r>
      <w:r>
        <w:rPr>
          <w:rFonts w:hint="eastAsia" w:eastAsia="仿宋_GB2312"/>
          <w:bCs/>
          <w:sz w:val="32"/>
          <w:szCs w:val="32"/>
          <w:lang w:eastAsia="zh-CN"/>
        </w:rPr>
        <w:t>加装隔声屏等</w:t>
      </w:r>
      <w:r>
        <w:rPr>
          <w:rFonts w:hint="eastAsia" w:eastAsia="仿宋_GB2312"/>
          <w:bCs/>
          <w:sz w:val="32"/>
          <w:szCs w:val="32"/>
        </w:rPr>
        <w:t>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废离子交换树脂</w:t>
      </w:r>
      <w:r>
        <w:rPr>
          <w:rFonts w:hint="eastAsia" w:eastAsia="仿宋_GB2312"/>
          <w:bCs/>
          <w:sz w:val="32"/>
          <w:szCs w:val="32"/>
          <w:lang w:val="en-US" w:eastAsia="zh-CN"/>
        </w:rPr>
        <w:t>作为</w:t>
      </w:r>
      <w:r>
        <w:rPr>
          <w:rFonts w:hint="eastAsia" w:eastAsia="仿宋_GB2312"/>
          <w:bCs/>
          <w:sz w:val="32"/>
          <w:szCs w:val="32"/>
        </w:rPr>
        <w:t>一般工业固体废物，由</w:t>
      </w:r>
      <w:r>
        <w:rPr>
          <w:rFonts w:hint="eastAsia" w:eastAsia="仿宋_GB2312"/>
          <w:bCs/>
          <w:sz w:val="32"/>
          <w:szCs w:val="32"/>
          <w:lang w:eastAsia="zh-CN"/>
        </w:rPr>
        <w:t>厂家</w:t>
      </w:r>
      <w:r>
        <w:rPr>
          <w:rFonts w:hint="eastAsia" w:eastAsia="仿宋_GB2312"/>
          <w:bCs/>
          <w:sz w:val="32"/>
          <w:szCs w:val="32"/>
        </w:rPr>
        <w:t>定期</w:t>
      </w:r>
      <w:r>
        <w:rPr>
          <w:rFonts w:hint="eastAsia" w:eastAsia="仿宋_GB2312"/>
          <w:bCs/>
          <w:sz w:val="32"/>
          <w:szCs w:val="32"/>
          <w:lang w:eastAsia="zh-CN"/>
        </w:rPr>
        <w:t>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做好排污口规范化工作，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设置规范的废气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、废水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采样点，悬挂符合要求的标识牌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强化各项环境风险防范措施，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修订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突发环境风险应急预案，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报区生态环境局备案；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定期开展应急演练，提高应对突发环境风险事故的处理能力，有效防范环境风险。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根据区生态环境局《关于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中国石油集团工程技术研究有限公司新建直燃机项目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新增主要污染物总量来源的确认意见》，该项目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污染物排放量为：二氧化硫0.0407吨/年、氮氧化物0.312吨/年、化学需氧量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244吨/年、氨氮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365吨/年、总氮0.143吨/年、总磷0.0081吨/年。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在启动生产设施或者发生实际排污之前，应按照法律法规要求，做好排污许可管理相关工作；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按规定的标准和程序开展环境保护验收，经验收合格后方可正式投入使用；若项目的性质、规模、地点、生产工艺或防治污染的措施发生重大变动，须重新报批环境影响评价文件。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2" w:firstLineChars="207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《锅炉大气污染物排放标准》（DB12/151-20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《污水综合排放标准》（DB12/356-20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8）三级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类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4类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《一般工业固体废物贮存和填埋污染控制标准》（GB18599-20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wordWrap w:val="0"/>
        <w:ind w:firstLine="2800" w:firstLineChars="1000"/>
        <w:jc w:val="right"/>
        <w:rPr>
          <w:rFonts w:eastAsia="仿宋_GB2312"/>
          <w:sz w:val="32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</w:rPr>
        <w:t xml:space="preserve">    </w:t>
      </w:r>
    </w:p>
    <w:p>
      <w:pPr>
        <w:spacing w:line="68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（共印4份）</w:t>
      </w:r>
    </w:p>
    <w:tbl>
      <w:tblPr>
        <w:tblStyle w:val="5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680" w:lineRule="exact"/>
              <w:ind w:right="160" w:firstLine="280" w:firstLineChars="10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31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61317"/>
    <w:multiLevelType w:val="singleLevel"/>
    <w:tmpl w:val="60F613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80234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C5262"/>
    <w:rsid w:val="004D1A4C"/>
    <w:rsid w:val="00531BD1"/>
    <w:rsid w:val="00544DB0"/>
    <w:rsid w:val="00566C93"/>
    <w:rsid w:val="005D266D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8F2861"/>
    <w:rsid w:val="00921371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1938"/>
    <w:rsid w:val="00AD7A1F"/>
    <w:rsid w:val="00B375DB"/>
    <w:rsid w:val="00B941D8"/>
    <w:rsid w:val="00BF6B0B"/>
    <w:rsid w:val="00C8289E"/>
    <w:rsid w:val="00CA7E14"/>
    <w:rsid w:val="00CE5024"/>
    <w:rsid w:val="00D006C4"/>
    <w:rsid w:val="00D12F65"/>
    <w:rsid w:val="00D52B80"/>
    <w:rsid w:val="00D9001B"/>
    <w:rsid w:val="00DA5608"/>
    <w:rsid w:val="00DD7D5A"/>
    <w:rsid w:val="00DE0B7D"/>
    <w:rsid w:val="00E334F0"/>
    <w:rsid w:val="00E530D0"/>
    <w:rsid w:val="00E630C8"/>
    <w:rsid w:val="00E81FC7"/>
    <w:rsid w:val="00E913AD"/>
    <w:rsid w:val="00EA4EAB"/>
    <w:rsid w:val="00EA51F1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22C4AC3"/>
    <w:rsid w:val="04683D1F"/>
    <w:rsid w:val="07CF6683"/>
    <w:rsid w:val="08C0414A"/>
    <w:rsid w:val="08CC7EF8"/>
    <w:rsid w:val="08D14B1A"/>
    <w:rsid w:val="0A616717"/>
    <w:rsid w:val="0A993ECD"/>
    <w:rsid w:val="0B0D5A13"/>
    <w:rsid w:val="0B6D14B7"/>
    <w:rsid w:val="0BB42B8E"/>
    <w:rsid w:val="0CD243F4"/>
    <w:rsid w:val="0FA859B9"/>
    <w:rsid w:val="0FBF42EC"/>
    <w:rsid w:val="11D91F41"/>
    <w:rsid w:val="126758C9"/>
    <w:rsid w:val="138327ED"/>
    <w:rsid w:val="14367871"/>
    <w:rsid w:val="16420B4B"/>
    <w:rsid w:val="17B46048"/>
    <w:rsid w:val="184D3DB0"/>
    <w:rsid w:val="194B65CB"/>
    <w:rsid w:val="19B95B36"/>
    <w:rsid w:val="1C7F02A0"/>
    <w:rsid w:val="1CCC3CCC"/>
    <w:rsid w:val="1D992813"/>
    <w:rsid w:val="1E860E96"/>
    <w:rsid w:val="1F3259C6"/>
    <w:rsid w:val="217E0DA2"/>
    <w:rsid w:val="220D79D5"/>
    <w:rsid w:val="235F1C43"/>
    <w:rsid w:val="261C2711"/>
    <w:rsid w:val="27DF6D5B"/>
    <w:rsid w:val="290416FB"/>
    <w:rsid w:val="29C16AAF"/>
    <w:rsid w:val="2A8E570B"/>
    <w:rsid w:val="2B5A4C61"/>
    <w:rsid w:val="2C6664FE"/>
    <w:rsid w:val="2DA85F50"/>
    <w:rsid w:val="2DE85F13"/>
    <w:rsid w:val="31E47D3B"/>
    <w:rsid w:val="321C5935"/>
    <w:rsid w:val="329D3404"/>
    <w:rsid w:val="330A7AD7"/>
    <w:rsid w:val="33937C59"/>
    <w:rsid w:val="33CC3E98"/>
    <w:rsid w:val="33DB2ED4"/>
    <w:rsid w:val="34C0667B"/>
    <w:rsid w:val="352C4DAB"/>
    <w:rsid w:val="36544D9C"/>
    <w:rsid w:val="3678062E"/>
    <w:rsid w:val="36D07CDC"/>
    <w:rsid w:val="36F423E6"/>
    <w:rsid w:val="37BF2C83"/>
    <w:rsid w:val="3982447C"/>
    <w:rsid w:val="39CB2C31"/>
    <w:rsid w:val="3A093909"/>
    <w:rsid w:val="3AD02729"/>
    <w:rsid w:val="3E053D44"/>
    <w:rsid w:val="3E6B05F3"/>
    <w:rsid w:val="41BA15F9"/>
    <w:rsid w:val="420A2FF8"/>
    <w:rsid w:val="42195A6A"/>
    <w:rsid w:val="426A0A56"/>
    <w:rsid w:val="43AE49AE"/>
    <w:rsid w:val="44845B5C"/>
    <w:rsid w:val="44F21C4B"/>
    <w:rsid w:val="4578357E"/>
    <w:rsid w:val="45AD6951"/>
    <w:rsid w:val="46824E4F"/>
    <w:rsid w:val="48B431C7"/>
    <w:rsid w:val="4AE83298"/>
    <w:rsid w:val="4B106CD2"/>
    <w:rsid w:val="4B544C74"/>
    <w:rsid w:val="4C895B69"/>
    <w:rsid w:val="4D354F41"/>
    <w:rsid w:val="4F016F2E"/>
    <w:rsid w:val="502925FF"/>
    <w:rsid w:val="50D413E4"/>
    <w:rsid w:val="51872AF4"/>
    <w:rsid w:val="51A96376"/>
    <w:rsid w:val="522654ED"/>
    <w:rsid w:val="5261193E"/>
    <w:rsid w:val="531662A7"/>
    <w:rsid w:val="53333171"/>
    <w:rsid w:val="537F0991"/>
    <w:rsid w:val="56307B26"/>
    <w:rsid w:val="5750757E"/>
    <w:rsid w:val="57D119C1"/>
    <w:rsid w:val="581A10A7"/>
    <w:rsid w:val="59465D4C"/>
    <w:rsid w:val="5CE11D93"/>
    <w:rsid w:val="5D1A2FE5"/>
    <w:rsid w:val="5F9A6485"/>
    <w:rsid w:val="603A2046"/>
    <w:rsid w:val="61140234"/>
    <w:rsid w:val="61F11BB7"/>
    <w:rsid w:val="628A6975"/>
    <w:rsid w:val="63C42AC6"/>
    <w:rsid w:val="657F22F3"/>
    <w:rsid w:val="66BC7DE3"/>
    <w:rsid w:val="686A0B4A"/>
    <w:rsid w:val="68CD0632"/>
    <w:rsid w:val="69644F10"/>
    <w:rsid w:val="69C34516"/>
    <w:rsid w:val="6B4FBCAD"/>
    <w:rsid w:val="6BE35B07"/>
    <w:rsid w:val="6CBE07C5"/>
    <w:rsid w:val="6DFA1134"/>
    <w:rsid w:val="6F2605FE"/>
    <w:rsid w:val="6FF3011B"/>
    <w:rsid w:val="706E47D2"/>
    <w:rsid w:val="71B60E95"/>
    <w:rsid w:val="71F065BA"/>
    <w:rsid w:val="729829D6"/>
    <w:rsid w:val="73067FA2"/>
    <w:rsid w:val="73935D89"/>
    <w:rsid w:val="7458541A"/>
    <w:rsid w:val="7479752E"/>
    <w:rsid w:val="75F3278E"/>
    <w:rsid w:val="76A77C9C"/>
    <w:rsid w:val="7773376E"/>
    <w:rsid w:val="77B43EA4"/>
    <w:rsid w:val="78241FCC"/>
    <w:rsid w:val="787E122A"/>
    <w:rsid w:val="78B56081"/>
    <w:rsid w:val="79DC311D"/>
    <w:rsid w:val="79F26D38"/>
    <w:rsid w:val="7A75589C"/>
    <w:rsid w:val="7BD7CC8D"/>
    <w:rsid w:val="7D123060"/>
    <w:rsid w:val="7D926341"/>
    <w:rsid w:val="7DB3444A"/>
    <w:rsid w:val="7E54785F"/>
    <w:rsid w:val="7E6C59D9"/>
    <w:rsid w:val="7EF7A51B"/>
    <w:rsid w:val="7F6FF6B1"/>
    <w:rsid w:val="D9D73B65"/>
    <w:rsid w:val="E78BD636"/>
    <w:rsid w:val="F637A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1138</Words>
  <Characters>1255</Characters>
  <Lines>2</Lines>
  <Paragraphs>3</Paragraphs>
  <TotalTime>24</TotalTime>
  <ScaleCrop>false</ScaleCrop>
  <LinksUpToDate>false</LinksUpToDate>
  <CharactersWithSpaces>1303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2020-10-22T04:22:00Z</dcterms:created>
  <dc:creator>张明蕾</dc:creator>
  <cp:lastModifiedBy>许微</cp:lastModifiedBy>
  <cp:lastPrinted>2020-10-29T05:41:00Z</cp:lastPrinted>
  <dcterms:modified xsi:type="dcterms:W3CDTF">2022-04-06T09:39:04Z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821890823B9C4E58A5C3DA9E608DE30C</vt:lpwstr>
  </property>
</Properties>
</file>