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360" w:lineRule="auto"/>
        <w:jc w:val="center"/>
        <w:rPr>
          <w:rFonts w:ascii="仿宋_GB2312" w:eastAsia="仿宋_GB2312"/>
          <w:sz w:val="32"/>
          <w:szCs w:val="32"/>
        </w:rPr>
      </w:pPr>
      <w:r>
        <w:pict>
          <v:shape id="_x0000_i1025" o:spt="136" type="#_x0000_t136" style="height:42.75pt;width:437.25pt;" fillcolor="#FF0000" filled="t" stroked="t" coordsize="21600,21600" adj="10800">
            <v:path/>
            <v:fill on="t" color2="#FFFFFF" focussize="0,0"/>
            <v:stroke color="#FF0000"/>
            <v:imagedata o:title=""/>
            <o:lock v:ext="edit" aspectratio="f"/>
            <v:textpath on="t" fitshape="t" fitpath="t" trim="t" xscale="f" string="天津市滨海新区行政审批局文件" style="font-family:华文中宋;font-size:40pt;font-weight:bold;v-text-align:center;"/>
            <w10:wrap type="none"/>
            <w10:anchorlock/>
          </v:shape>
        </w:pict>
      </w:r>
    </w:p>
    <w:p>
      <w:pPr>
        <w:jc w:val="center"/>
        <w:rPr>
          <w:rFonts w:hint="default" w:ascii="Times New Roman" w:hAnsi="Times New Roman" w:eastAsia="仿宋_GB2312" w:cs="Times New Roman"/>
          <w:sz w:val="32"/>
          <w:szCs w:val="32"/>
        </w:rPr>
      </w:pPr>
    </w:p>
    <w:p>
      <w:pPr>
        <w:jc w:val="center"/>
        <w:rPr>
          <w:rFonts w:ascii="仿宋_GB2312" w:eastAsia="仿宋_GB2312"/>
          <w:sz w:val="32"/>
          <w:szCs w:val="32"/>
        </w:rPr>
      </w:pPr>
      <w:r>
        <w:rPr>
          <w:rFonts w:hint="default" w:ascii="Times New Roman" w:hAnsi="Times New Roman" w:eastAsia="仿宋_GB2312" w:cs="Times New Roman"/>
          <w:sz w:val="32"/>
          <w:szCs w:val="32"/>
        </w:rPr>
        <w:t>津滨审批二室准〔</w:t>
      </w:r>
      <w:r>
        <w:rPr>
          <w:rFonts w:hint="eastAsia" w:eastAsia="仿宋_GB2312" w:cs="Times New Roman"/>
          <w:sz w:val="32"/>
          <w:szCs w:val="32"/>
          <w:lang w:eastAsia="zh-CN"/>
        </w:rPr>
        <w:t>2022</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124</w:t>
      </w:r>
      <w:bookmarkStart w:id="0" w:name="_GoBack"/>
      <w:bookmarkEnd w:id="0"/>
      <w:r>
        <w:rPr>
          <w:rFonts w:hint="default" w:ascii="Times New Roman" w:hAnsi="Times New Roman" w:eastAsia="仿宋_GB2312" w:cs="Times New Roman"/>
          <w:sz w:val="32"/>
          <w:szCs w:val="32"/>
        </w:rPr>
        <w:t>号</w:t>
      </w:r>
    </w:p>
    <w:p>
      <w:pPr>
        <w:rPr>
          <w:rFonts w:ascii="仿宋_GB2312" w:eastAsia="仿宋_GB2312"/>
          <w:sz w:val="32"/>
          <w:szCs w:val="32"/>
        </w:rPr>
      </w:pPr>
      <w:r>
        <mc:AlternateContent>
          <mc:Choice Requires="wps">
            <w:drawing>
              <wp:inline distT="0" distB="0" distL="114300" distR="114300">
                <wp:extent cx="5664200" cy="0"/>
                <wp:effectExtent l="0" t="0" r="0" b="0"/>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19050">
                          <a:solidFill>
                            <a:srgbClr val="FF0000"/>
                          </a:solidFill>
                          <a:round/>
                        </a:ln>
                        <a:effectLst/>
                      </wps:spPr>
                      <wps:bodyPr/>
                    </wps:wsp>
                  </a:graphicData>
                </a:graphic>
              </wp:inline>
            </w:drawing>
          </mc:Choice>
          <mc:Fallback>
            <w:pict>
              <v:shape id="_x0000_s1026" o:spid="_x0000_s1026" o:spt="32" type="#_x0000_t32" style="height:0pt;width:446pt;" filled="f" stroked="t" coordsize="21600,21600" o:gfxdata="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LfaFdEAAAACAQAADwAAAAAAAAABACAAAAAiAAAAZHJzL2Rvd25yZXYueG1sUEsB&#10;AhQAFAAAAAgAh07iQLzk9bv8AQAAzQMAAA4AAAAAAAAAAQAgAAAAIAEAAGRycy9lMm9Eb2MueG1s&#10;UEsFBgAAAAAGAAYAWQEAAI4FAAAAAA==&#10;">
                <v:fill on="f" focussize="0,0"/>
                <v:stroke weight="1.5pt" color="#FF0000" joinstyle="round"/>
                <v:imagedata o:title=""/>
                <o:lock v:ext="edit" aspectratio="f"/>
                <w10:wrap type="none"/>
                <w10:anchorlock/>
              </v:shape>
            </w:pict>
          </mc:Fallback>
        </mc:AlternateContent>
      </w:r>
    </w:p>
    <w:p>
      <w:pPr>
        <w:pStyle w:val="7"/>
        <w:spacing w:line="580" w:lineRule="exact"/>
        <w:jc w:val="center"/>
        <w:rPr>
          <w:rFonts w:hint="eastAsia" w:ascii="方正小标宋简体" w:hAnsi="宋体" w:eastAsia="方正小标宋简体"/>
          <w:color w:val="000000"/>
          <w:sz w:val="44"/>
        </w:rPr>
      </w:pPr>
    </w:p>
    <w:p>
      <w:pPr>
        <w:pStyle w:val="7"/>
        <w:spacing w:line="580" w:lineRule="exact"/>
        <w:jc w:val="center"/>
        <w:rPr>
          <w:rFonts w:hint="eastAsia" w:ascii="方正小标宋简体" w:hAnsi="宋体" w:eastAsia="方正小标宋简体"/>
          <w:color w:val="000000"/>
          <w:sz w:val="44"/>
          <w:lang w:eastAsia="zh-CN"/>
        </w:rPr>
      </w:pPr>
      <w:r>
        <w:rPr>
          <w:rFonts w:hint="eastAsia" w:ascii="方正小标宋简体" w:hAnsi="宋体" w:eastAsia="方正小标宋简体"/>
          <w:color w:val="000000"/>
          <w:sz w:val="44"/>
        </w:rPr>
        <w:t>关于</w:t>
      </w:r>
      <w:r>
        <w:rPr>
          <w:rFonts w:hint="eastAsia" w:ascii="方正小标宋简体" w:hAnsi="宋体" w:eastAsia="方正小标宋简体"/>
          <w:color w:val="000000"/>
          <w:sz w:val="44"/>
          <w:lang w:eastAsia="zh-CN"/>
        </w:rPr>
        <w:t>天津国电电力海晶盐光互补项目</w:t>
      </w:r>
    </w:p>
    <w:p>
      <w:pPr>
        <w:pStyle w:val="7"/>
        <w:spacing w:line="580" w:lineRule="exact"/>
        <w:jc w:val="center"/>
        <w:rPr>
          <w:rFonts w:ascii="方正小标宋简体" w:hAnsi="宋体" w:eastAsia="方正小标宋简体"/>
          <w:color w:val="000000"/>
          <w:sz w:val="44"/>
        </w:rPr>
      </w:pPr>
      <w:r>
        <w:rPr>
          <w:rFonts w:ascii="方正小标宋简体" w:hAnsi="宋体" w:eastAsia="方正小标宋简体"/>
          <w:color w:val="000000"/>
          <w:sz w:val="44"/>
        </w:rPr>
        <w:t>环境影响报告表的批复</w:t>
      </w:r>
    </w:p>
    <w:p>
      <w:pPr>
        <w:spacing w:line="0" w:lineRule="atLeast"/>
        <w:jc w:val="center"/>
        <w:rPr>
          <w:rFonts w:ascii="宋体" w:hAnsi="宋体"/>
          <w:b/>
          <w:color w:val="000000"/>
          <w:sz w:val="44"/>
        </w:rPr>
      </w:pPr>
    </w:p>
    <w:p>
      <w:pPr>
        <w:keepNext w:val="0"/>
        <w:keepLines w:val="0"/>
        <w:pageBreakBefore w:val="0"/>
        <w:widowControl w:val="0"/>
        <w:kinsoku/>
        <w:wordWrap/>
        <w:overflowPunct/>
        <w:topLinePunct w:val="0"/>
        <w:autoSpaceDE/>
        <w:autoSpaceDN/>
        <w:bidi w:val="0"/>
        <w:adjustRightInd/>
        <w:snapToGrid/>
        <w:spacing w:line="610" w:lineRule="exact"/>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eastAsia="zh-CN"/>
        </w:rPr>
        <w:t>天津</w:t>
      </w:r>
      <w:r>
        <w:rPr>
          <w:rFonts w:hint="eastAsia" w:eastAsia="仿宋_GB2312" w:cs="Times New Roman"/>
          <w:sz w:val="32"/>
          <w:szCs w:val="32"/>
          <w:lang w:val="en-US" w:eastAsia="zh-CN"/>
        </w:rPr>
        <w:t>国电电力</w:t>
      </w:r>
      <w:r>
        <w:rPr>
          <w:rFonts w:hint="eastAsia" w:eastAsia="仿宋_GB2312" w:cs="Times New Roman"/>
          <w:sz w:val="32"/>
          <w:szCs w:val="32"/>
          <w:lang w:eastAsia="zh-CN"/>
        </w:rPr>
        <w:t>海晶新能源有限公司</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你公司呈报的《</w:t>
      </w:r>
      <w:r>
        <w:rPr>
          <w:rFonts w:hint="eastAsia" w:eastAsia="仿宋_GB2312" w:cs="Times New Roman"/>
          <w:sz w:val="32"/>
          <w:szCs w:val="32"/>
          <w:lang w:eastAsia="zh-CN"/>
        </w:rPr>
        <w:t>天津</w:t>
      </w:r>
      <w:r>
        <w:rPr>
          <w:rFonts w:hint="eastAsia" w:eastAsia="仿宋_GB2312" w:cs="Times New Roman"/>
          <w:sz w:val="32"/>
          <w:szCs w:val="32"/>
          <w:lang w:val="en-US" w:eastAsia="zh-CN"/>
        </w:rPr>
        <w:t>国电电力</w:t>
      </w:r>
      <w:r>
        <w:rPr>
          <w:rFonts w:hint="eastAsia" w:eastAsia="仿宋_GB2312" w:cs="Times New Roman"/>
          <w:sz w:val="32"/>
          <w:szCs w:val="32"/>
          <w:lang w:eastAsia="zh-CN"/>
        </w:rPr>
        <w:t>海晶新能源有限公司</w:t>
      </w:r>
      <w:r>
        <w:rPr>
          <w:rFonts w:hint="eastAsia" w:ascii="Times New Roman" w:hAnsi="Times New Roman" w:eastAsia="仿宋_GB2312" w:cs="Times New Roman"/>
          <w:sz w:val="32"/>
          <w:szCs w:val="32"/>
          <w:lang w:eastAsia="zh-CN"/>
        </w:rPr>
        <w:t>关于报批</w:t>
      </w:r>
      <w:r>
        <w:rPr>
          <w:rFonts w:hint="eastAsia" w:ascii="Times New Roman" w:hAnsi="Times New Roman" w:eastAsia="仿宋_GB2312" w:cs="Times New Roman"/>
          <w:sz w:val="32"/>
          <w:szCs w:val="32"/>
          <w:lang w:val="en" w:eastAsia="zh-CN"/>
        </w:rPr>
        <w:t>天津国电电力海晶盐光互补项目</w:t>
      </w:r>
      <w:r>
        <w:rPr>
          <w:rFonts w:hint="default" w:ascii="Times New Roman" w:hAnsi="Times New Roman" w:eastAsia="仿宋_GB2312" w:cs="Times New Roman"/>
          <w:sz w:val="32"/>
          <w:szCs w:val="32"/>
        </w:rPr>
        <w:t>环境影响报告表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请示》、</w:t>
      </w:r>
      <w:r>
        <w:rPr>
          <w:rFonts w:hint="eastAsia" w:ascii="Times New Roman" w:hAnsi="Times New Roman" w:eastAsia="仿宋_GB2312" w:cs="Times New Roman"/>
          <w:sz w:val="32"/>
          <w:szCs w:val="32"/>
          <w:lang w:val="en-US" w:eastAsia="zh-CN"/>
        </w:rPr>
        <w:t>联合泰泽环</w:t>
      </w:r>
      <w:r>
        <w:rPr>
          <w:rFonts w:hint="eastAsia" w:eastAsia="仿宋_GB2312"/>
          <w:sz w:val="32"/>
          <w:szCs w:val="32"/>
          <w:lang w:val="en-US" w:eastAsia="zh-CN"/>
        </w:rPr>
        <w:t>境科技发展有限公司编制的</w:t>
      </w:r>
      <w:r>
        <w:rPr>
          <w:rFonts w:hint="default" w:ascii="Times New Roman" w:hAnsi="Times New Roman" w:eastAsia="仿宋_GB2312" w:cs="Times New Roman"/>
          <w:sz w:val="32"/>
          <w:szCs w:val="32"/>
        </w:rPr>
        <w:t>《</w:t>
      </w:r>
      <w:r>
        <w:rPr>
          <w:rFonts w:hint="eastAsia" w:eastAsia="仿宋_GB2312" w:cs="Times New Roman"/>
          <w:sz w:val="32"/>
          <w:szCs w:val="32"/>
          <w:lang w:val="en" w:eastAsia="zh-CN"/>
        </w:rPr>
        <w:t>天津国电电力海晶盐光互补项目</w:t>
      </w:r>
      <w:r>
        <w:rPr>
          <w:rFonts w:hint="default" w:ascii="Times New Roman" w:hAnsi="Times New Roman" w:eastAsia="仿宋_GB2312" w:cs="Times New Roman"/>
          <w:sz w:val="32"/>
          <w:szCs w:val="32"/>
        </w:rPr>
        <w:t>环境影响报告表》</w:t>
      </w:r>
      <w:r>
        <w:rPr>
          <w:rFonts w:hint="eastAsia" w:eastAsia="仿宋_GB2312" w:cs="Times New Roman"/>
          <w:sz w:val="32"/>
          <w:szCs w:val="32"/>
          <w:lang w:val="en-US" w:eastAsia="zh-CN"/>
        </w:rPr>
        <w:t>及其附件</w:t>
      </w:r>
      <w:r>
        <w:rPr>
          <w:rFonts w:hint="default" w:ascii="Times New Roman" w:hAnsi="Times New Roman" w:eastAsia="仿宋_GB2312" w:cs="Times New Roman"/>
          <w:sz w:val="32"/>
          <w:szCs w:val="32"/>
        </w:rPr>
        <w:t>收悉。经研究，现批复如下：</w:t>
      </w:r>
    </w:p>
    <w:p>
      <w:pPr>
        <w:spacing w:line="360" w:lineRule="auto"/>
        <w:ind w:firstLine="640" w:firstLineChars="200"/>
        <w:textAlignment w:val="baseline"/>
        <w:rPr>
          <w:rFonts w:eastAsia="仿宋_GB2312"/>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你公司拟</w:t>
      </w:r>
      <w:r>
        <w:rPr>
          <w:rFonts w:hint="eastAsia" w:eastAsia="仿宋_GB2312" w:cs="Times New Roman"/>
          <w:sz w:val="32"/>
          <w:szCs w:val="32"/>
          <w:lang w:val="en-US" w:eastAsia="zh-CN"/>
        </w:rPr>
        <w:t>租用</w:t>
      </w:r>
      <w:r>
        <w:rPr>
          <w:rFonts w:hint="eastAsia" w:eastAsia="仿宋_GB2312" w:cs="Times New Roman"/>
          <w:sz w:val="32"/>
          <w:szCs w:val="32"/>
          <w:lang w:eastAsia="zh-CN"/>
        </w:rPr>
        <w:t>天津长芦海晶集团有限公司</w:t>
      </w:r>
      <w:r>
        <w:rPr>
          <w:rFonts w:hint="eastAsia" w:eastAsia="仿宋_GB2312" w:cs="Times New Roman"/>
          <w:sz w:val="32"/>
          <w:szCs w:val="32"/>
          <w:lang w:val="en-US" w:eastAsia="zh-CN"/>
        </w:rPr>
        <w:t>位于滨海新区西外环高速公路以东、滨海绕城高速以南、中央大道以西、南湖公园（规划）以北区域内的</w:t>
      </w:r>
      <w:r>
        <w:rPr>
          <w:rFonts w:hint="eastAsia" w:eastAsia="仿宋_GB2312" w:cs="Times New Roman"/>
          <w:sz w:val="32"/>
          <w:szCs w:val="32"/>
          <w:lang w:eastAsia="zh-CN"/>
        </w:rPr>
        <w:t>盐田</w:t>
      </w:r>
      <w:r>
        <w:rPr>
          <w:rFonts w:hint="eastAsia" w:eastAsia="仿宋_GB2312"/>
          <w:bCs/>
          <w:sz w:val="32"/>
          <w:szCs w:val="32"/>
          <w:lang w:eastAsia="zh-CN"/>
        </w:rPr>
        <w:t>建设</w:t>
      </w:r>
      <w:r>
        <w:rPr>
          <w:rFonts w:hint="eastAsia" w:eastAsia="仿宋_GB2312" w:cs="Times New Roman"/>
          <w:sz w:val="32"/>
          <w:szCs w:val="32"/>
          <w:lang w:val="en" w:eastAsia="zh-CN"/>
        </w:rPr>
        <w:t>天津国电电力海晶盐光互补项目，采用</w:t>
      </w:r>
      <w:r>
        <w:rPr>
          <w:rFonts w:hint="eastAsia" w:eastAsia="仿宋_GB2312"/>
          <w:sz w:val="32"/>
          <w:szCs w:val="32"/>
        </w:rPr>
        <w:t>“分块发电，集中并网”的模式</w:t>
      </w:r>
      <w:r>
        <w:rPr>
          <w:rFonts w:hint="eastAsia" w:eastAsia="仿宋_GB2312" w:cs="Times New Roman"/>
          <w:sz w:val="32"/>
          <w:szCs w:val="32"/>
          <w:lang w:val="en" w:eastAsia="zh-CN"/>
        </w:rPr>
        <w:t>，实现“水上发电、水中晒盐”综合利用示范区域。</w:t>
      </w:r>
      <w:r>
        <w:rPr>
          <w:rFonts w:hint="eastAsia" w:eastAsia="仿宋_GB2312"/>
          <w:sz w:val="32"/>
          <w:szCs w:val="32"/>
        </w:rPr>
        <w:t>主要建设内容</w:t>
      </w:r>
      <w:r>
        <w:rPr>
          <w:rFonts w:hint="eastAsia" w:eastAsia="仿宋_GB2312"/>
          <w:sz w:val="32"/>
          <w:szCs w:val="32"/>
          <w:lang w:eastAsia="zh-CN"/>
        </w:rPr>
        <w:t>为：在盐田内新建</w:t>
      </w:r>
      <w:r>
        <w:rPr>
          <w:rFonts w:hint="eastAsia" w:eastAsia="仿宋_GB2312"/>
          <w:sz w:val="32"/>
          <w:szCs w:val="32"/>
          <w:lang w:val="en-US" w:eastAsia="zh-CN"/>
        </w:rPr>
        <w:t>332个</w:t>
      </w:r>
      <w:r>
        <w:rPr>
          <w:rFonts w:hint="eastAsia" w:eastAsia="仿宋_GB2312"/>
          <w:sz w:val="32"/>
          <w:szCs w:val="32"/>
          <w:lang w:eastAsia="zh-CN"/>
        </w:rPr>
        <w:t>光伏单元，光伏区内的</w:t>
      </w:r>
      <w:r>
        <w:rPr>
          <w:rFonts w:hint="eastAsia" w:eastAsia="仿宋_GB2312"/>
          <w:sz w:val="32"/>
          <w:szCs w:val="32"/>
          <w:lang w:val="en-US" w:eastAsia="zh-CN"/>
        </w:rPr>
        <w:t>集</w:t>
      </w:r>
      <w:r>
        <w:rPr>
          <w:rFonts w:hint="eastAsia" w:eastAsia="仿宋_GB2312"/>
          <w:sz w:val="32"/>
          <w:szCs w:val="32"/>
          <w:lang w:eastAsia="zh-CN"/>
        </w:rPr>
        <w:t>电线路</w:t>
      </w:r>
      <w:r>
        <w:rPr>
          <w:rFonts w:hint="eastAsia" w:eastAsia="仿宋_GB2312"/>
          <w:sz w:val="32"/>
          <w:szCs w:val="32"/>
          <w:lang w:val="en-US" w:eastAsia="zh-CN"/>
        </w:rPr>
        <w:t>采取桥架和直埋两种敷设方式，总</w:t>
      </w:r>
      <w:r>
        <w:rPr>
          <w:rFonts w:hint="eastAsia" w:eastAsia="仿宋_GB2312"/>
          <w:sz w:val="32"/>
          <w:szCs w:val="32"/>
          <w:lang w:eastAsia="zh-CN"/>
        </w:rPr>
        <w:t>长约</w:t>
      </w:r>
      <w:r>
        <w:rPr>
          <w:rFonts w:hint="eastAsia" w:eastAsia="仿宋_GB2312"/>
          <w:sz w:val="32"/>
          <w:szCs w:val="32"/>
          <w:lang w:val="en-US" w:eastAsia="zh-CN"/>
        </w:rPr>
        <w:t>584公里</w:t>
      </w:r>
      <w:r>
        <w:rPr>
          <w:rFonts w:hint="eastAsia" w:eastAsia="仿宋_GB2312"/>
          <w:sz w:val="32"/>
          <w:szCs w:val="32"/>
          <w:lang w:eastAsia="zh-CN"/>
        </w:rPr>
        <w:t>；</w:t>
      </w:r>
      <w:r>
        <w:rPr>
          <w:rFonts w:hint="eastAsia" w:eastAsia="仿宋_GB2312"/>
          <w:sz w:val="32"/>
          <w:szCs w:val="32"/>
        </w:rPr>
        <w:t>各</w:t>
      </w:r>
      <w:r>
        <w:rPr>
          <w:rFonts w:hint="eastAsia" w:eastAsia="仿宋_GB2312"/>
          <w:sz w:val="32"/>
          <w:szCs w:val="32"/>
          <w:lang w:val="en-US" w:eastAsia="zh-CN"/>
        </w:rPr>
        <w:t>发电</w:t>
      </w:r>
      <w:r>
        <w:rPr>
          <w:rFonts w:hint="eastAsia" w:eastAsia="仿宋_GB2312"/>
          <w:sz w:val="32"/>
          <w:szCs w:val="32"/>
          <w:lang w:eastAsia="zh-CN"/>
        </w:rPr>
        <w:t>单元</w:t>
      </w:r>
      <w:r>
        <w:rPr>
          <w:rFonts w:hint="eastAsia" w:eastAsia="仿宋_GB2312"/>
          <w:sz w:val="32"/>
          <w:szCs w:val="32"/>
        </w:rPr>
        <w:t>以35kV线路</w:t>
      </w:r>
      <w:r>
        <w:rPr>
          <w:rFonts w:hint="eastAsia" w:eastAsia="仿宋_GB2312"/>
          <w:sz w:val="32"/>
          <w:szCs w:val="32"/>
          <w:lang w:eastAsia="zh-CN"/>
        </w:rPr>
        <w:t>接入</w:t>
      </w:r>
      <w:r>
        <w:rPr>
          <w:rFonts w:hint="eastAsia" w:eastAsia="仿宋_GB2312"/>
          <w:sz w:val="32"/>
          <w:szCs w:val="32"/>
          <w:lang w:val="en-US" w:eastAsia="zh-CN"/>
        </w:rPr>
        <w:t>依托</w:t>
      </w:r>
      <w:r>
        <w:rPr>
          <w:rFonts w:hint="eastAsia" w:eastAsia="仿宋_GB2312"/>
          <w:sz w:val="32"/>
          <w:szCs w:val="32"/>
          <w:lang w:eastAsia="zh-CN"/>
        </w:rPr>
        <w:t>的</w:t>
      </w:r>
      <w:r>
        <w:rPr>
          <w:rFonts w:hint="eastAsia" w:eastAsia="仿宋_GB2312"/>
          <w:sz w:val="32"/>
          <w:szCs w:val="32"/>
          <w:lang w:val="en-US" w:eastAsia="zh-CN"/>
        </w:rPr>
        <w:t>500kV</w:t>
      </w:r>
      <w:r>
        <w:rPr>
          <w:rFonts w:hint="eastAsia" w:eastAsia="仿宋_GB2312"/>
          <w:sz w:val="32"/>
          <w:szCs w:val="32"/>
        </w:rPr>
        <w:t>升压站</w:t>
      </w:r>
      <w:r>
        <w:rPr>
          <w:rFonts w:hint="eastAsia" w:eastAsia="仿宋_GB2312"/>
          <w:sz w:val="32"/>
          <w:szCs w:val="32"/>
          <w:lang w:eastAsia="zh-CN"/>
        </w:rPr>
        <w:t>。该项目不</w:t>
      </w:r>
      <w:r>
        <w:rPr>
          <w:rFonts w:hint="eastAsia" w:eastAsia="仿宋_GB2312"/>
          <w:sz w:val="32"/>
          <w:szCs w:val="32"/>
          <w:lang w:val="en-US" w:eastAsia="zh-CN"/>
        </w:rPr>
        <w:t>包括升压站，须另行办理环保手续</w:t>
      </w:r>
      <w:r>
        <w:rPr>
          <w:rFonts w:hint="eastAsia" w:eastAsia="仿宋_GB2312"/>
          <w:sz w:val="32"/>
          <w:szCs w:val="32"/>
          <w:lang w:eastAsia="zh-CN"/>
        </w:rPr>
        <w:t>。项目建设规模为</w:t>
      </w:r>
      <w:r>
        <w:rPr>
          <w:rFonts w:hint="eastAsia" w:eastAsia="仿宋_GB2312"/>
          <w:sz w:val="32"/>
          <w:szCs w:val="32"/>
          <w:lang w:val="en-US" w:eastAsia="zh-CN"/>
        </w:rPr>
        <w:t>1000MW，</w:t>
      </w:r>
      <w:r>
        <w:rPr>
          <w:rFonts w:hint="eastAsia" w:eastAsia="仿宋_GB2312"/>
          <w:color w:val="auto"/>
          <w:sz w:val="32"/>
          <w:szCs w:val="32"/>
          <w:lang w:val="en-US" w:eastAsia="zh-CN"/>
        </w:rPr>
        <w:t>年平均发电量为12.9亿kW·h</w:t>
      </w:r>
      <w:r>
        <w:rPr>
          <w:rFonts w:hint="eastAsia" w:eastAsia="仿宋_GB2312"/>
          <w:sz w:val="32"/>
          <w:szCs w:val="32"/>
          <w:lang w:val="en-US" w:eastAsia="zh-CN"/>
        </w:rPr>
        <w:t>。</w:t>
      </w:r>
      <w:r>
        <w:rPr>
          <w:rFonts w:hint="eastAsia" w:eastAsia="仿宋_GB2312"/>
          <w:sz w:val="32"/>
          <w:szCs w:val="32"/>
        </w:rPr>
        <w:t>总投资为</w:t>
      </w:r>
      <w:r>
        <w:rPr>
          <w:rFonts w:hint="eastAsia" w:eastAsia="仿宋_GB2312"/>
          <w:sz w:val="32"/>
          <w:szCs w:val="32"/>
          <w:lang w:val="en-US" w:eastAsia="zh-CN"/>
        </w:rPr>
        <w:t>480000</w:t>
      </w:r>
      <w:r>
        <w:rPr>
          <w:rFonts w:hint="eastAsia" w:eastAsia="仿宋_GB2312"/>
          <w:sz w:val="32"/>
          <w:szCs w:val="32"/>
        </w:rPr>
        <w:t>万元，</w:t>
      </w:r>
      <w:r>
        <w:rPr>
          <w:rFonts w:eastAsia="仿宋_GB2312"/>
          <w:sz w:val="32"/>
          <w:szCs w:val="32"/>
        </w:rPr>
        <w:t>环保投资</w:t>
      </w:r>
      <w:r>
        <w:rPr>
          <w:rFonts w:hint="eastAsia" w:eastAsia="仿宋_GB2312"/>
          <w:sz w:val="32"/>
          <w:szCs w:val="32"/>
          <w:lang w:val="en-US" w:eastAsia="zh-CN"/>
        </w:rPr>
        <w:t>60</w:t>
      </w:r>
      <w:r>
        <w:rPr>
          <w:rFonts w:hint="eastAsia" w:eastAsia="仿宋_GB2312"/>
          <w:sz w:val="32"/>
          <w:szCs w:val="32"/>
        </w:rPr>
        <w:t>万元</w:t>
      </w:r>
      <w:r>
        <w:rPr>
          <w:rFonts w:eastAsia="仿宋_GB2312"/>
          <w:sz w:val="32"/>
          <w:szCs w:val="32"/>
        </w:rPr>
        <w:t>，</w:t>
      </w:r>
      <w:r>
        <w:rPr>
          <w:rFonts w:hint="eastAsia" w:eastAsia="仿宋_GB2312"/>
          <w:sz w:val="32"/>
          <w:szCs w:val="32"/>
        </w:rPr>
        <w:t>约占总投资的0.</w:t>
      </w:r>
      <w:r>
        <w:rPr>
          <w:rFonts w:hint="eastAsia" w:eastAsia="仿宋_GB2312"/>
          <w:sz w:val="32"/>
          <w:szCs w:val="32"/>
          <w:lang w:val="en-US" w:eastAsia="zh-CN"/>
        </w:rPr>
        <w:t>01</w:t>
      </w:r>
      <w:r>
        <w:rPr>
          <w:rFonts w:hint="eastAsia" w:eastAsia="仿宋_GB2312"/>
          <w:sz w:val="32"/>
          <w:szCs w:val="32"/>
        </w:rPr>
        <w:t>%</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eastAsia="zh-CN"/>
        </w:rPr>
        <w:t>2022</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17</w:t>
      </w:r>
      <w:r>
        <w:rPr>
          <w:rFonts w:hint="default" w:ascii="Times New Roman" w:hAnsi="Times New Roman" w:eastAsia="仿宋_GB2312" w:cs="Times New Roman"/>
          <w:sz w:val="32"/>
          <w:szCs w:val="32"/>
        </w:rPr>
        <w:t>日至</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rPr>
        <w:t>日，我局将该项目</w:t>
      </w:r>
      <w:r>
        <w:rPr>
          <w:rFonts w:hint="default" w:ascii="Times New Roman" w:hAnsi="Times New Roman" w:eastAsia="仿宋_GB2312" w:cs="Times New Roman"/>
          <w:sz w:val="32"/>
          <w:szCs w:val="32"/>
          <w:lang w:eastAsia="zh-CN"/>
        </w:rPr>
        <w:t>环评</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受理情况进行</w:t>
      </w:r>
      <w:r>
        <w:rPr>
          <w:rFonts w:hint="eastAsia" w:eastAsia="仿宋_GB2312" w:cs="Times New Roman"/>
          <w:sz w:val="32"/>
          <w:szCs w:val="32"/>
          <w:lang w:val="en-US" w:eastAsia="zh-CN"/>
        </w:rPr>
        <w:t>了</w:t>
      </w:r>
      <w:r>
        <w:rPr>
          <w:rFonts w:hint="default" w:ascii="Times New Roman" w:hAnsi="Times New Roman" w:eastAsia="仿宋_GB2312" w:cs="Times New Roman"/>
          <w:sz w:val="32"/>
          <w:szCs w:val="32"/>
        </w:rPr>
        <w:t>公</w:t>
      </w:r>
      <w:r>
        <w:rPr>
          <w:rFonts w:hint="default" w:eastAsia="仿宋_GB2312" w:cs="Times New Roman"/>
          <w:sz w:val="32"/>
          <w:szCs w:val="32"/>
          <w:lang w:val="en-US" w:eastAsia="zh-CN"/>
        </w:rPr>
        <w:t>示</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日至</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将该项目</w:t>
      </w:r>
      <w:r>
        <w:rPr>
          <w:rFonts w:hint="default" w:ascii="Times New Roman" w:hAnsi="Times New Roman" w:eastAsia="仿宋_GB2312" w:cs="Times New Roman"/>
          <w:sz w:val="32"/>
          <w:szCs w:val="32"/>
          <w:lang w:eastAsia="zh-CN"/>
        </w:rPr>
        <w:t>环评</w:t>
      </w:r>
      <w:r>
        <w:rPr>
          <w:rFonts w:hint="default" w:ascii="Times New Roman" w:hAnsi="Times New Roman" w:eastAsia="仿宋_GB2312" w:cs="Times New Roman"/>
          <w:sz w:val="32"/>
          <w:szCs w:val="32"/>
        </w:rPr>
        <w:t>拟批复</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情况进行</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公示；根据公众反馈意见情况及环评报告结论，在严格落实环评报告所提出的各项污染防治措施、确保各类污染物稳定达标的前提下，项目</w:t>
      </w:r>
      <w:r>
        <w:rPr>
          <w:rFonts w:hint="eastAsia" w:eastAsia="仿宋_GB2312" w:cs="Times New Roman"/>
          <w:sz w:val="32"/>
          <w:szCs w:val="32"/>
          <w:lang w:eastAsia="zh-CN"/>
        </w:rPr>
        <w:t>具备环境可行性</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二、项目建设和运营期间，你公司应重点做好以下工作：</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1.施工期间应严格执行国家相关环保法律法规和落实环评报告中提出的污染防范措施：做到合法施工，文明生产，减少扬尘污染；施工场地固体垃圾应</w:t>
      </w:r>
      <w:r>
        <w:rPr>
          <w:rFonts w:hint="eastAsia" w:eastAsia="仿宋_GB2312" w:cs="Times New Roman"/>
          <w:sz w:val="32"/>
          <w:szCs w:val="32"/>
          <w:lang w:eastAsia="zh-CN"/>
        </w:rPr>
        <w:t>妥善处置</w:t>
      </w:r>
      <w:r>
        <w:rPr>
          <w:rFonts w:hint="default" w:ascii="Times New Roman" w:hAnsi="Times New Roman" w:eastAsia="仿宋_GB2312" w:cs="Times New Roman"/>
          <w:sz w:val="32"/>
          <w:szCs w:val="32"/>
        </w:rPr>
        <w:t>；</w:t>
      </w:r>
      <w:r>
        <w:rPr>
          <w:rFonts w:hint="eastAsia" w:eastAsia="仿宋_GB2312"/>
          <w:sz w:val="32"/>
          <w:szCs w:val="32"/>
          <w:lang w:eastAsia="zh-CN"/>
        </w:rPr>
        <w:t>妥善处理</w:t>
      </w:r>
      <w:r>
        <w:rPr>
          <w:rFonts w:hint="eastAsia" w:eastAsia="仿宋_GB2312"/>
          <w:sz w:val="32"/>
          <w:szCs w:val="32"/>
        </w:rPr>
        <w:t>施工</w:t>
      </w:r>
      <w:r>
        <w:rPr>
          <w:rFonts w:hint="eastAsia" w:eastAsia="仿宋_GB2312"/>
          <w:sz w:val="32"/>
          <w:szCs w:val="32"/>
          <w:lang w:eastAsia="zh-CN"/>
        </w:rPr>
        <w:t>产生的施工</w:t>
      </w:r>
      <w:r>
        <w:rPr>
          <w:rFonts w:hint="eastAsia" w:eastAsia="仿宋_GB2312"/>
          <w:sz w:val="32"/>
          <w:szCs w:val="32"/>
        </w:rPr>
        <w:t>废水；</w:t>
      </w:r>
      <w:r>
        <w:rPr>
          <w:rFonts w:hint="default" w:ascii="Times New Roman" w:hAnsi="Times New Roman" w:eastAsia="仿宋_GB2312" w:cs="Times New Roman"/>
          <w:sz w:val="32"/>
          <w:szCs w:val="32"/>
        </w:rPr>
        <w:t>合理安排施工时间和施工区域，加强对高噪声机械的管理。</w:t>
      </w:r>
    </w:p>
    <w:p>
      <w:pPr>
        <w:pStyle w:val="2"/>
        <w:rPr>
          <w:rFonts w:hint="default" w:eastAsia="仿宋_GB2312"/>
          <w:lang w:val="en-US" w:eastAsia="zh-CN"/>
        </w:rPr>
      </w:pPr>
      <w:r>
        <w:rPr>
          <w:rFonts w:hint="eastAsia" w:eastAsia="仿宋_GB2312" w:cs="Times New Roman"/>
          <w:sz w:val="32"/>
          <w:szCs w:val="32"/>
          <w:lang w:val="en-US" w:eastAsia="zh-CN"/>
        </w:rPr>
        <w:t xml:space="preserve">    在邻近天津市生态保护红线和</w:t>
      </w:r>
      <w:r>
        <w:rPr>
          <w:rFonts w:hint="default" w:ascii="Times New Roman" w:hAnsi="Times New Roman" w:eastAsia="仿宋_GB2312" w:cs="Times New Roman"/>
          <w:sz w:val="32"/>
          <w:szCs w:val="32"/>
          <w:lang w:val="en-US" w:eastAsia="zh-CN"/>
        </w:rPr>
        <w:t>永久性保护生态区域</w:t>
      </w:r>
      <w:r>
        <w:rPr>
          <w:rFonts w:hint="eastAsia" w:eastAsia="仿宋_GB2312" w:cs="Times New Roman"/>
          <w:sz w:val="32"/>
          <w:szCs w:val="32"/>
          <w:lang w:val="en-US" w:eastAsia="zh-CN"/>
        </w:rPr>
        <w:t>施工时，严禁在该</w:t>
      </w:r>
      <w:r>
        <w:rPr>
          <w:rFonts w:hint="default" w:ascii="Times New Roman" w:hAnsi="Times New Roman" w:eastAsia="仿宋_GB2312" w:cs="Times New Roman"/>
          <w:sz w:val="32"/>
          <w:szCs w:val="32"/>
          <w:lang w:val="en-US" w:eastAsia="zh-CN"/>
        </w:rPr>
        <w:t>区域内</w:t>
      </w:r>
      <w:r>
        <w:rPr>
          <w:rFonts w:hint="default" w:ascii="Times New Roman" w:hAnsi="Times New Roman" w:eastAsia="仿宋_GB2312" w:cs="Times New Roman"/>
          <w:sz w:val="32"/>
          <w:szCs w:val="32"/>
          <w:lang w:eastAsia="zh-CN"/>
        </w:rPr>
        <w:t>临时堆土</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val="en-US" w:eastAsia="zh-CN"/>
        </w:rPr>
        <w:t>严禁</w:t>
      </w:r>
      <w:r>
        <w:rPr>
          <w:rFonts w:hint="default" w:ascii="Times New Roman" w:hAnsi="Times New Roman" w:eastAsia="仿宋_GB2312" w:cs="Times New Roman"/>
          <w:sz w:val="32"/>
          <w:szCs w:val="32"/>
          <w:lang w:eastAsia="zh-CN"/>
        </w:rPr>
        <w:t>设置临时料场</w:t>
      </w:r>
      <w:r>
        <w:rPr>
          <w:rFonts w:hint="default" w:ascii="Times New Roman" w:hAnsi="Times New Roman" w:eastAsia="仿宋_GB2312" w:cs="Times New Roman"/>
          <w:sz w:val="32"/>
          <w:szCs w:val="32"/>
          <w:lang w:val="en-US" w:eastAsia="zh-CN"/>
        </w:rPr>
        <w:t>等</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2.选用低噪声设备，采取隔声降噪措施，确保厂界噪声</w:t>
      </w:r>
      <w:r>
        <w:rPr>
          <w:rFonts w:hint="eastAsia" w:ascii="Times New Roman" w:hAnsi="Times New Roman" w:eastAsia="仿宋_GB2312" w:cs="Times New Roman"/>
          <w:sz w:val="32"/>
          <w:szCs w:val="32"/>
          <w:lang w:eastAsia="zh-CN"/>
        </w:rPr>
        <w:t>排放达标</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default" w:eastAsia="仿宋_GB2312"/>
          <w:lang w:val="en-US" w:eastAsia="zh-CN"/>
        </w:rPr>
      </w:pPr>
      <w:r>
        <w:rPr>
          <w:rFonts w:hint="eastAsia" w:eastAsia="仿宋_GB2312" w:cs="Times New Roman"/>
          <w:sz w:val="32"/>
          <w:szCs w:val="32"/>
          <w:lang w:val="en-US" w:eastAsia="zh-CN"/>
        </w:rPr>
        <w:t xml:space="preserve">3.废光伏组件由厂家定期回收。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三、该项目无新增污染物排放总量。</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四、项目建设应严格执行环境保护设施与主体工程同时设计、同时施工、同时投产使用的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三同时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管理制度</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项目竣工后你公司应按规定的标准和程序开展环境保护验收，经验收合格后方可正式投入运营</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若项目的性质、规模、地点、生产工艺或防治污染的措施发生重大变动，要重新报批环境影响评价文件。</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五</w:t>
      </w:r>
      <w:r>
        <w:rPr>
          <w:rFonts w:hint="default" w:ascii="Times New Roman" w:hAnsi="Times New Roman" w:eastAsia="仿宋_GB2312" w:cs="Times New Roman"/>
          <w:sz w:val="32"/>
          <w:szCs w:val="32"/>
        </w:rPr>
        <w:t>、项目应执行以下标准：</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《环境空气质量标准》（GB3095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2012）二级</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《声环境质量标准》（GB3096-2008）</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类</w:t>
      </w:r>
      <w:r>
        <w:rPr>
          <w:rFonts w:hint="eastAsia" w:eastAsia="仿宋_GB2312" w:cs="Times New Roman"/>
          <w:sz w:val="32"/>
          <w:szCs w:val="32"/>
          <w:lang w:eastAsia="zh-CN"/>
        </w:rPr>
        <w:t>、</w:t>
      </w:r>
      <w:r>
        <w:rPr>
          <w:rFonts w:hint="eastAsia" w:eastAsia="仿宋_GB2312" w:cs="Times New Roman"/>
          <w:sz w:val="32"/>
          <w:szCs w:val="32"/>
          <w:lang w:val="en-US" w:eastAsia="zh-CN"/>
        </w:rPr>
        <w:t>4a类</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《工业企业厂界环境噪声排放标准》（GB12348-2008）</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类</w:t>
      </w:r>
      <w:r>
        <w:rPr>
          <w:rFonts w:hint="eastAsia" w:eastAsia="仿宋_GB2312" w:cs="Times New Roman"/>
          <w:sz w:val="32"/>
          <w:szCs w:val="32"/>
          <w:lang w:eastAsia="zh-CN"/>
        </w:rPr>
        <w:t>、</w:t>
      </w:r>
      <w:r>
        <w:rPr>
          <w:rFonts w:hint="eastAsia" w:eastAsia="仿宋_GB2312" w:cs="Times New Roman"/>
          <w:sz w:val="32"/>
          <w:szCs w:val="32"/>
          <w:lang w:val="en-US" w:eastAsia="zh-CN"/>
        </w:rPr>
        <w:t>4类</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napToGrid/>
        <w:spacing w:line="640" w:lineRule="exact"/>
        <w:ind w:firstLine="640" w:firstLineChars="200"/>
        <w:textAlignment w:val="baseline"/>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4.</w:t>
      </w:r>
      <w:r>
        <w:rPr>
          <w:rFonts w:hint="eastAsia" w:eastAsia="仿宋_GB2312" w:cs="Times New Roman"/>
          <w:color w:val="auto"/>
          <w:sz w:val="32"/>
          <w:szCs w:val="32"/>
          <w:lang w:val="en-US" w:eastAsia="zh-CN"/>
        </w:rPr>
        <w:t>《一般工业固体废物贮存和填埋污染控制标准》（</w:t>
      </w:r>
      <w:r>
        <w:rPr>
          <w:rFonts w:hint="default" w:eastAsia="仿宋_GB2312" w:cs="Times New Roman"/>
          <w:color w:val="auto"/>
          <w:sz w:val="32"/>
          <w:szCs w:val="32"/>
          <w:lang w:val="en-US" w:eastAsia="zh-CN"/>
        </w:rPr>
        <w:t>GB 18599-2020</w:t>
      </w:r>
      <w:r>
        <w:rPr>
          <w:rFonts w:hint="eastAsia" w:eastAsia="仿宋_GB2312" w:cs="Times New Roman"/>
          <w:color w:val="auto"/>
          <w:sz w:val="32"/>
          <w:szCs w:val="32"/>
          <w:lang w:val="en-US" w:eastAsia="zh-CN"/>
        </w:rPr>
        <w:t>）</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640" w:lineRule="exact"/>
        <w:ind w:firstLine="640" w:firstLineChars="200"/>
        <w:textAlignment w:val="baseline"/>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《建筑施工场界环境噪声排放标准》（GB12523-2011）</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此复</w:t>
      </w:r>
      <w:r>
        <w:rPr>
          <w:rFonts w:hint="eastAsia" w:eastAsia="仿宋_GB2312" w:cs="Times New Roman"/>
          <w:sz w:val="32"/>
          <w:szCs w:val="32"/>
          <w:lang w:eastAsia="zh-CN"/>
        </w:rPr>
        <w:t>。</w:t>
      </w:r>
    </w:p>
    <w:p>
      <w:pPr>
        <w:rPr>
          <w:rFonts w:hint="default"/>
        </w:rPr>
      </w:pPr>
    </w:p>
    <w:p>
      <w:pPr>
        <w:pStyle w:val="2"/>
        <w:rPr>
          <w:rFonts w:hint="default"/>
        </w:rPr>
      </w:pPr>
    </w:p>
    <w:p>
      <w:pPr>
        <w:rPr>
          <w:rFonts w:hint="default"/>
        </w:rPr>
      </w:pPr>
    </w:p>
    <w:p>
      <w:pPr>
        <w:pStyle w:val="2"/>
        <w:rPr>
          <w:rFonts w:hint="default"/>
        </w:rPr>
      </w:pPr>
    </w:p>
    <w:p>
      <w:pPr>
        <w:rPr>
          <w:rFonts w:hint="default"/>
        </w:rPr>
      </w:pPr>
    </w:p>
    <w:p>
      <w:pPr>
        <w:wordWrap w:val="0"/>
        <w:ind w:firstLine="3200" w:firstLineChars="1000"/>
        <w:jc w:val="right"/>
        <w:rPr>
          <w:rFonts w:hint="eastAsia" w:eastAsia="仿宋_GB2312"/>
          <w:sz w:val="32"/>
          <w:lang w:val="en-US" w:eastAsia="zh-CN"/>
        </w:rPr>
      </w:pPr>
      <w:r>
        <w:rPr>
          <w:rFonts w:hint="eastAsia" w:eastAsia="仿宋_GB2312"/>
          <w:sz w:val="32"/>
        </w:rPr>
        <w:t xml:space="preserve">               </w:t>
      </w:r>
      <w:r>
        <w:rPr>
          <w:rFonts w:hint="eastAsia" w:eastAsia="仿宋_GB2312"/>
          <w:sz w:val="32"/>
          <w:lang w:val="en-US" w:eastAsia="zh-CN"/>
        </w:rPr>
        <w:t xml:space="preserve">2022年12月2日   </w:t>
      </w:r>
    </w:p>
    <w:p>
      <w:pPr>
        <w:pStyle w:val="2"/>
        <w:wordWrap/>
        <w:rPr>
          <w:rFonts w:hint="eastAsia"/>
          <w:sz w:val="10"/>
          <w:szCs w:val="10"/>
          <w:lang w:val="en-US" w:eastAsia="zh-CN"/>
        </w:rPr>
      </w:pPr>
    </w:p>
    <w:p>
      <w:pPr>
        <w:rPr>
          <w:rFonts w:hint="eastAsia"/>
          <w:sz w:val="10"/>
          <w:szCs w:val="10"/>
          <w:lang w:val="en-US" w:eastAsia="zh-CN"/>
        </w:rPr>
      </w:pPr>
    </w:p>
    <w:p>
      <w:pPr>
        <w:rPr>
          <w:rFonts w:hint="eastAsia"/>
          <w:sz w:val="10"/>
          <w:szCs w:val="10"/>
          <w:lang w:val="en-US" w:eastAsia="zh-CN"/>
        </w:rPr>
      </w:pPr>
    </w:p>
    <w:p>
      <w:pPr>
        <w:spacing w:line="680" w:lineRule="exact"/>
        <w:rPr>
          <w:rFonts w:hint="eastAsia" w:eastAsia="仿宋_GB2312"/>
          <w:sz w:val="28"/>
          <w:szCs w:val="28"/>
        </w:rPr>
      </w:pPr>
      <w:r>
        <w:rPr>
          <w:rFonts w:eastAsia="仿宋_GB2312"/>
          <w:sz w:val="28"/>
          <w:szCs w:val="28"/>
        </w:rPr>
        <w:t>主题词：环境影响 报告</w:t>
      </w:r>
      <w:r>
        <w:rPr>
          <w:rFonts w:hint="eastAsia" w:eastAsia="仿宋_GB2312"/>
          <w:sz w:val="28"/>
          <w:szCs w:val="28"/>
          <w:lang w:eastAsia="zh-CN"/>
        </w:rPr>
        <w:t>表</w:t>
      </w:r>
      <w:r>
        <w:rPr>
          <w:rFonts w:eastAsia="仿宋_GB2312"/>
          <w:sz w:val="28"/>
          <w:szCs w:val="28"/>
        </w:rPr>
        <w:t xml:space="preserve"> 批复        </w:t>
      </w:r>
      <w:r>
        <w:rPr>
          <w:rFonts w:hint="eastAsia"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rPr>
        <w:t xml:space="preserve">  （</w:t>
      </w:r>
      <w:r>
        <w:rPr>
          <w:rFonts w:eastAsia="仿宋_GB2312"/>
          <w:sz w:val="28"/>
          <w:szCs w:val="28"/>
        </w:rPr>
        <w:t>共印4份）</w:t>
      </w:r>
    </w:p>
    <w:tbl>
      <w:tblPr>
        <w:tblStyle w:val="4"/>
        <w:tblW w:w="9054" w:type="dxa"/>
        <w:tblInd w:w="0" w:type="dxa"/>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9054"/>
      </w:tblGrid>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567" w:hRule="atLeast"/>
        </w:trPr>
        <w:tc>
          <w:tcPr>
            <w:tcW w:w="9054" w:type="dxa"/>
            <w:tcBorders>
              <w:top w:val="single" w:color="auto" w:sz="8" w:space="0"/>
              <w:bottom w:val="single" w:color="auto" w:sz="8" w:space="0"/>
            </w:tcBorders>
            <w:vAlign w:val="top"/>
          </w:tcPr>
          <w:p>
            <w:pPr>
              <w:spacing w:line="680" w:lineRule="exact"/>
              <w:ind w:right="160"/>
              <w:rPr>
                <w:sz w:val="32"/>
              </w:rPr>
            </w:pPr>
            <w:r>
              <w:rPr>
                <w:rFonts w:eastAsia="仿宋_GB2312"/>
                <w:sz w:val="28"/>
                <w:szCs w:val="28"/>
              </w:rPr>
              <w:t>抄</w:t>
            </w:r>
            <w:r>
              <w:rPr>
                <w:rFonts w:hint="eastAsia" w:eastAsia="仿宋_GB2312"/>
                <w:sz w:val="28"/>
                <w:szCs w:val="28"/>
                <w:lang w:val="en-US" w:eastAsia="zh-CN"/>
              </w:rPr>
              <w:t xml:space="preserve">  </w:t>
            </w:r>
            <w:r>
              <w:rPr>
                <w:rFonts w:eastAsia="仿宋_GB2312"/>
                <w:sz w:val="28"/>
                <w:szCs w:val="28"/>
              </w:rPr>
              <w:t>送：天津市滨海新区生态环境局</w:t>
            </w:r>
          </w:p>
        </w:tc>
      </w:tr>
    </w:tbl>
    <w:p>
      <w:r>
        <w:rPr>
          <w:rFonts w:hint="eastAsia" w:eastAsia="仿宋_GB2312"/>
          <w:sz w:val="28"/>
          <w:szCs w:val="28"/>
        </w:rPr>
        <w:t xml:space="preserve">天津市滨海新区行政审批局              </w:t>
      </w:r>
      <w:r>
        <w:rPr>
          <w:rFonts w:hint="eastAsia" w:eastAsia="仿宋_GB2312"/>
          <w:sz w:val="28"/>
          <w:szCs w:val="28"/>
          <w:lang w:val="en-US" w:eastAsia="zh-CN"/>
        </w:rPr>
        <w:t xml:space="preserve">      2022</w:t>
      </w:r>
      <w:r>
        <w:rPr>
          <w:rFonts w:eastAsia="仿宋_GB2312"/>
          <w:sz w:val="28"/>
          <w:szCs w:val="28"/>
        </w:rPr>
        <w:t>年</w:t>
      </w:r>
      <w:r>
        <w:rPr>
          <w:rFonts w:hint="eastAsia" w:eastAsia="仿宋_GB2312"/>
          <w:sz w:val="28"/>
          <w:szCs w:val="28"/>
          <w:lang w:val="en-US" w:eastAsia="zh-CN"/>
        </w:rPr>
        <w:t>12</w:t>
      </w:r>
      <w:r>
        <w:rPr>
          <w:rFonts w:eastAsia="仿宋_GB2312"/>
          <w:sz w:val="28"/>
          <w:szCs w:val="28"/>
        </w:rPr>
        <w:t>月</w:t>
      </w:r>
      <w:r>
        <w:rPr>
          <w:rFonts w:hint="eastAsia" w:eastAsia="仿宋_GB2312"/>
          <w:sz w:val="28"/>
          <w:szCs w:val="28"/>
          <w:lang w:val="en-US" w:eastAsia="zh-CN"/>
        </w:rPr>
        <w:t>2</w:t>
      </w:r>
      <w:r>
        <w:rPr>
          <w:rFonts w:eastAsia="仿宋_GB2312"/>
          <w:sz w:val="28"/>
          <w:szCs w:val="28"/>
        </w:rPr>
        <w:t>日印发</w:t>
      </w:r>
    </w:p>
    <w:sectPr>
      <w:footerReference r:id="rId3" w:type="default"/>
      <w:footerReference r:id="rId4" w:type="even"/>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ZDJlMzAwZTE0OTRjMTQ5OTJjY2ZiMzRkMmYxNjUifQ=="/>
  </w:docVars>
  <w:rsids>
    <w:rsidRoot w:val="5B2804B1"/>
    <w:rsid w:val="067C08EA"/>
    <w:rsid w:val="08A21E9E"/>
    <w:rsid w:val="0CF44850"/>
    <w:rsid w:val="256D0FEE"/>
    <w:rsid w:val="2B394CD9"/>
    <w:rsid w:val="2F477370"/>
    <w:rsid w:val="2FA41711"/>
    <w:rsid w:val="36D26DF4"/>
    <w:rsid w:val="430E5D88"/>
    <w:rsid w:val="4A4B41A6"/>
    <w:rsid w:val="51D16620"/>
    <w:rsid w:val="52C55AFF"/>
    <w:rsid w:val="5B2804B1"/>
    <w:rsid w:val="5DEA6436"/>
    <w:rsid w:val="761A3150"/>
    <w:rsid w:val="7C743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黑体"/>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中文报告书样式"/>
    <w:basedOn w:val="1"/>
    <w:qFormat/>
    <w:uiPriority w:val="0"/>
    <w:pPr>
      <w:adjustRightInd w:val="0"/>
      <w:spacing w:line="420" w:lineRule="atLeast"/>
      <w:jc w:val="left"/>
      <w:textAlignment w:val="baseline"/>
    </w:pPr>
    <w:rPr>
      <w:kern w:val="24"/>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1112</Words>
  <Characters>1224</Characters>
  <Lines>0</Lines>
  <Paragraphs>0</Paragraphs>
  <TotalTime>5</TotalTime>
  <ScaleCrop>false</ScaleCrop>
  <LinksUpToDate>false</LinksUpToDate>
  <CharactersWithSpaces>1297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2021-08-24T05:47:00Z</dcterms:created>
  <dc:creator>审批二室</dc:creator>
  <cp:lastModifiedBy>暴风雨</cp:lastModifiedBy>
  <dcterms:modified xsi:type="dcterms:W3CDTF">2022-12-01T03:10:06Z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9CE0026EA67D4F528D5D9AECC9241007</vt:lpwstr>
  </property>
</Properties>
</file>