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spacing w:line="360" w:lineRule="auto"/>
        <w:jc w:val="center"/>
        <w:rPr>
          <w:rFonts w:ascii="仿宋_GB2312" w:eastAsia="仿宋_GB2312"/>
          <w:color w:val="auto"/>
          <w:sz w:val="32"/>
          <w:szCs w:val="32"/>
        </w:rPr>
      </w:pPr>
      <w:r>
        <w:rPr>
          <w:color w:val="auto"/>
        </w:rPr>
        <w:pict>
          <v:shape id="_x0000_i1025" o:spt="136" type="#_x0000_t136" style="height:42.75pt;width:437.25pt;" fillcolor="#FF0000" filled="t" stroked="t" coordsize="21600,21600" adj="10800">
            <v:path/>
            <v:fill on="t" color2="#FFFFFF" focussize="0,0"/>
            <v:stroke color="#FF0000"/>
            <v:imagedata o:title=""/>
            <o:lock v:ext="edit" aspectratio="f"/>
            <v:textpath on="t" fitshape="t" fitpath="t" trim="t" xscale="f" string="天津市滨海新区行政审批局文件" style="font-family:华文中宋;font-size:40pt;font-weight:bold;v-text-align:center;"/>
            <w10:wrap type="none"/>
            <w10:anchorlock/>
          </v:shape>
        </w:pict>
      </w:r>
    </w:p>
    <w:p>
      <w:pPr>
        <w:jc w:val="center"/>
        <w:rPr>
          <w:rFonts w:hint="default" w:ascii="Times New Roman" w:hAnsi="Times New Roman" w:eastAsia="仿宋_GB2312" w:cs="Times New Roman"/>
          <w:color w:val="auto"/>
          <w:sz w:val="32"/>
          <w:szCs w:val="32"/>
        </w:rPr>
      </w:pPr>
    </w:p>
    <w:p>
      <w:pPr>
        <w:jc w:val="center"/>
        <w:rPr>
          <w:rFonts w:ascii="仿宋_GB2312" w:eastAsia="仿宋_GB2312"/>
          <w:color w:val="auto"/>
          <w:sz w:val="32"/>
          <w:szCs w:val="32"/>
        </w:rPr>
      </w:pPr>
      <w:r>
        <w:rPr>
          <w:rFonts w:hint="default" w:ascii="Times New Roman" w:hAnsi="Times New Roman" w:eastAsia="仿宋_GB2312" w:cs="Times New Roman"/>
          <w:color w:val="auto"/>
          <w:sz w:val="32"/>
          <w:szCs w:val="32"/>
        </w:rPr>
        <w:t>津滨审批二室准〔20</w:t>
      </w:r>
      <w:r>
        <w:rPr>
          <w:rFonts w:hint="eastAsia"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213</w:t>
      </w:r>
      <w:bookmarkStart w:id="0" w:name="_GoBack"/>
      <w:bookmarkEnd w:id="0"/>
      <w:r>
        <w:rPr>
          <w:rFonts w:hint="default" w:ascii="Times New Roman" w:hAnsi="Times New Roman" w:eastAsia="仿宋_GB2312" w:cs="Times New Roman"/>
          <w:color w:val="auto"/>
          <w:sz w:val="32"/>
          <w:szCs w:val="32"/>
        </w:rPr>
        <w:t>号</w:t>
      </w:r>
      <w:r>
        <w:rPr>
          <w:color w:val="auto"/>
        </w:rPr>
        <mc:AlternateContent>
          <mc:Choice Requires="wps">
            <w:drawing>
              <wp:inline distT="0" distB="0" distL="114300" distR="114300">
                <wp:extent cx="5664200" cy="0"/>
                <wp:effectExtent l="0" t="0" r="0" b="0"/>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19050">
                          <a:solidFill>
                            <a:srgbClr val="FF0000"/>
                          </a:solidFill>
                          <a:round/>
                        </a:ln>
                        <a:effectLst/>
                      </wps:spPr>
                      <wps:bodyPr/>
                    </wps:wsp>
                  </a:graphicData>
                </a:graphic>
              </wp:inline>
            </w:drawing>
          </mc:Choice>
          <mc:Fallback>
            <w:pict>
              <v:shape id="_x0000_s1026" o:spid="_x0000_s1026" o:spt="32" type="#_x0000_t32" style="height:0pt;width:446pt;" filled="f" stroked="t" coordsize="21600,21600" o:gfxdata="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faFdEAAAACAQAADwAAAAAAAAABACAAAAAiAAAAZHJzL2Rvd25yZXYueG1sUEsB&#10;AhQAFAAAAAgAh07iQLzk9bv8AQAAzQMAAA4AAAAAAAAAAQAgAAAAIAEAAGRycy9lMm9Eb2MueG1s&#10;UEsFBgAAAAAGAAYAWQEAAI4FAAAAAA==&#10;">
                <v:fill on="f" focussize="0,0"/>
                <v:stroke weight="1.5pt" color="#FF0000" joinstyle="round"/>
                <v:imagedata o:title=""/>
                <o:lock v:ext="edit" aspectratio="f"/>
                <w10:wrap type="none"/>
                <w10:anchorlock/>
              </v:shape>
            </w:pict>
          </mc:Fallback>
        </mc:AlternateContent>
      </w:r>
    </w:p>
    <w:p>
      <w:pPr>
        <w:pStyle w:val="7"/>
        <w:spacing w:line="580" w:lineRule="exact"/>
        <w:jc w:val="center"/>
        <w:rPr>
          <w:rFonts w:hint="eastAsia" w:ascii="方正小标宋简体" w:hAnsi="宋体" w:eastAsia="方正小标宋简体"/>
          <w:color w:val="auto"/>
          <w:sz w:val="44"/>
        </w:rPr>
      </w:pPr>
    </w:p>
    <w:p>
      <w:pPr>
        <w:pStyle w:val="7"/>
        <w:spacing w:line="580" w:lineRule="exact"/>
        <w:jc w:val="center"/>
        <w:rPr>
          <w:rFonts w:hint="eastAsia" w:ascii="黑体" w:hAnsi="黑体" w:eastAsia="黑体" w:cs="黑体"/>
          <w:color w:val="auto"/>
          <w:sz w:val="44"/>
        </w:rPr>
      </w:pPr>
      <w:r>
        <w:rPr>
          <w:rFonts w:hint="eastAsia" w:ascii="黑体" w:hAnsi="黑体" w:eastAsia="黑体" w:cs="黑体"/>
          <w:color w:val="auto"/>
          <w:sz w:val="44"/>
        </w:rPr>
        <w:t>关于</w:t>
      </w:r>
      <w:r>
        <w:rPr>
          <w:rFonts w:hint="eastAsia" w:ascii="黑体" w:hAnsi="黑体" w:eastAsia="黑体" w:cs="黑体"/>
          <w:color w:val="auto"/>
          <w:sz w:val="44"/>
          <w:lang w:eastAsia="zh-CN"/>
        </w:rPr>
        <w:t>胡家园</w:t>
      </w:r>
      <w:r>
        <w:rPr>
          <w:rFonts w:hint="eastAsia" w:ascii="黑体" w:hAnsi="黑体" w:eastAsia="黑体" w:cs="黑体"/>
          <w:color w:val="auto"/>
          <w:sz w:val="44"/>
          <w:lang w:val="en-US" w:eastAsia="zh-CN"/>
        </w:rPr>
        <w:t>47.17兆瓦渔光互补项目</w:t>
      </w:r>
      <w:r>
        <w:rPr>
          <w:rFonts w:hint="eastAsia" w:ascii="黑体" w:hAnsi="黑体" w:eastAsia="黑体" w:cs="黑体"/>
          <w:color w:val="auto"/>
          <w:sz w:val="44"/>
        </w:rPr>
        <w:t>环境影响报告表的批复</w:t>
      </w:r>
    </w:p>
    <w:p>
      <w:pPr>
        <w:spacing w:line="0" w:lineRule="atLeast"/>
        <w:jc w:val="center"/>
        <w:rPr>
          <w:rFonts w:ascii="宋体" w:hAnsi="宋体"/>
          <w:b/>
          <w:color w:val="auto"/>
          <w:sz w:val="44"/>
        </w:rPr>
      </w:pPr>
    </w:p>
    <w:p>
      <w:pPr>
        <w:keepNext w:val="0"/>
        <w:keepLines w:val="0"/>
        <w:pageBreakBefore w:val="0"/>
        <w:widowControl w:val="0"/>
        <w:kinsoku/>
        <w:wordWrap/>
        <w:overflowPunct/>
        <w:topLinePunct w:val="0"/>
        <w:autoSpaceDE/>
        <w:autoSpaceDN/>
        <w:bidi w:val="0"/>
        <w:adjustRightInd/>
        <w:snapToGrid/>
        <w:spacing w:line="600" w:lineRule="exact"/>
        <w:textAlignment w:val="baseline"/>
        <w:outlineLvl w:val="9"/>
        <w:rPr>
          <w:rFonts w:hint="default" w:eastAsia="仿宋_GB2312" w:cs="Times New Roman"/>
          <w:color w:val="auto"/>
          <w:sz w:val="32"/>
          <w:szCs w:val="32"/>
          <w:lang w:val="en" w:eastAsia="zh-CN"/>
        </w:rPr>
      </w:pPr>
      <w:r>
        <w:rPr>
          <w:rFonts w:hint="eastAsia" w:eastAsia="仿宋_GB2312" w:cs="Times New Roman"/>
          <w:color w:val="auto"/>
          <w:sz w:val="32"/>
          <w:szCs w:val="32"/>
          <w:lang w:val="en" w:eastAsia="zh-CN"/>
        </w:rPr>
        <w:t>国家能源（山东）新能源有限公司</w:t>
      </w:r>
      <w:r>
        <w:rPr>
          <w:rFonts w:hint="default" w:eastAsia="仿宋_GB2312" w:cs="Times New Roman"/>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你公司呈</w:t>
      </w:r>
      <w:r>
        <w:rPr>
          <w:rFonts w:hint="default" w:eastAsia="仿宋_GB2312" w:cs="Times New Roman"/>
          <w:color w:val="auto"/>
          <w:sz w:val="32"/>
          <w:szCs w:val="32"/>
          <w:lang w:val="en" w:eastAsia="zh-CN"/>
        </w:rPr>
        <w:t>报的《</w:t>
      </w:r>
      <w:r>
        <w:rPr>
          <w:rFonts w:hint="eastAsia" w:eastAsia="仿宋_GB2312" w:cs="Times New Roman"/>
          <w:color w:val="auto"/>
          <w:sz w:val="32"/>
          <w:szCs w:val="32"/>
          <w:lang w:val="en" w:eastAsia="zh-CN"/>
        </w:rPr>
        <w:t>关于</w:t>
      </w:r>
      <w:r>
        <w:rPr>
          <w:rFonts w:hint="default" w:eastAsia="仿宋_GB2312" w:cs="Times New Roman"/>
          <w:color w:val="auto"/>
          <w:sz w:val="32"/>
          <w:szCs w:val="32"/>
          <w:lang w:val="en" w:eastAsia="zh-CN"/>
        </w:rPr>
        <w:t>胡家园47.17兆瓦渔光互补项目环境影响报告表</w:t>
      </w:r>
      <w:r>
        <w:rPr>
          <w:rFonts w:hint="eastAsia" w:eastAsia="仿宋_GB2312" w:cs="Times New Roman"/>
          <w:color w:val="auto"/>
          <w:sz w:val="32"/>
          <w:szCs w:val="32"/>
          <w:lang w:val="en" w:eastAsia="zh-CN"/>
        </w:rPr>
        <w:t>报批</w:t>
      </w:r>
      <w:r>
        <w:rPr>
          <w:rFonts w:hint="default" w:eastAsia="仿宋_GB2312" w:cs="Times New Roman"/>
          <w:color w:val="auto"/>
          <w:sz w:val="32"/>
          <w:szCs w:val="32"/>
          <w:lang w:val="en" w:eastAsia="zh-CN"/>
        </w:rPr>
        <w:t>请示》、</w:t>
      </w:r>
      <w:r>
        <w:rPr>
          <w:rFonts w:hint="eastAsia" w:eastAsia="仿宋_GB2312" w:cs="Times New Roman"/>
          <w:color w:val="auto"/>
          <w:sz w:val="32"/>
          <w:szCs w:val="32"/>
          <w:lang w:val="en-US" w:eastAsia="zh-CN"/>
        </w:rPr>
        <w:t>天津绿城环保科技有限公司编制的</w:t>
      </w:r>
      <w:r>
        <w:rPr>
          <w:rFonts w:hint="default" w:eastAsia="仿宋_GB2312" w:cs="Times New Roman"/>
          <w:color w:val="auto"/>
          <w:sz w:val="32"/>
          <w:szCs w:val="32"/>
          <w:lang w:val="en" w:eastAsia="zh-CN"/>
        </w:rPr>
        <w:t>《胡家园47.17兆瓦渔光互补项目</w:t>
      </w:r>
      <w:r>
        <w:rPr>
          <w:rFonts w:hint="default" w:ascii="Times New Roman" w:hAnsi="Times New Roman" w:eastAsia="仿宋_GB2312" w:cs="Times New Roman"/>
          <w:color w:val="auto"/>
          <w:sz w:val="32"/>
          <w:szCs w:val="32"/>
        </w:rPr>
        <w:t>环境影响报告表》</w:t>
      </w:r>
      <w:r>
        <w:rPr>
          <w:rFonts w:hint="eastAsia" w:eastAsia="仿宋_GB2312" w:cs="Times New Roman"/>
          <w:color w:val="auto"/>
          <w:sz w:val="32"/>
          <w:szCs w:val="32"/>
          <w:lang w:val="en-US" w:eastAsia="zh-CN"/>
        </w:rPr>
        <w:t>及其附件</w:t>
      </w:r>
      <w:r>
        <w:rPr>
          <w:rFonts w:hint="default" w:ascii="Times New Roman" w:hAnsi="Times New Roman" w:eastAsia="仿宋_GB2312" w:cs="Times New Roman"/>
          <w:color w:val="auto"/>
          <w:sz w:val="32"/>
          <w:szCs w:val="32"/>
        </w:rPr>
        <w:t>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eastAsia="仿宋_GB2312"/>
          <w:color w:val="auto"/>
          <w:sz w:val="32"/>
          <w:szCs w:val="32"/>
        </w:rPr>
      </w:pPr>
      <w:r>
        <w:rPr>
          <w:rFonts w:hint="eastAsia"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你公司拟</w:t>
      </w:r>
      <w:r>
        <w:rPr>
          <w:rFonts w:hint="eastAsia" w:eastAsia="仿宋_GB2312" w:cs="Times New Roman"/>
          <w:color w:val="auto"/>
          <w:sz w:val="32"/>
          <w:szCs w:val="32"/>
          <w:lang w:eastAsia="zh-CN"/>
        </w:rPr>
        <w:t>在滨海新区北环铁路以东、京津高速以南、西中环快速路以西、港城大道以北的区域</w:t>
      </w:r>
      <w:r>
        <w:rPr>
          <w:rFonts w:hint="eastAsia" w:eastAsia="仿宋_GB2312" w:cs="Times New Roman"/>
          <w:color w:val="auto"/>
          <w:sz w:val="32"/>
          <w:szCs w:val="32"/>
          <w:lang w:val="en-US" w:eastAsia="zh-CN"/>
        </w:rPr>
        <w:t>内</w:t>
      </w:r>
      <w:r>
        <w:rPr>
          <w:rFonts w:hint="eastAsia" w:eastAsia="仿宋_GB2312" w:cs="Times New Roman"/>
          <w:color w:val="auto"/>
          <w:sz w:val="32"/>
          <w:szCs w:val="32"/>
          <w:lang w:eastAsia="zh-CN"/>
        </w:rPr>
        <w:t>建设</w:t>
      </w:r>
      <w:r>
        <w:rPr>
          <w:rFonts w:hint="default" w:eastAsia="仿宋_GB2312" w:cs="Times New Roman"/>
          <w:color w:val="auto"/>
          <w:sz w:val="32"/>
          <w:szCs w:val="32"/>
          <w:lang w:val="en" w:eastAsia="zh-CN"/>
        </w:rPr>
        <w:t>胡家园47.17兆瓦渔光互补项目</w:t>
      </w:r>
      <w:r>
        <w:rPr>
          <w:rFonts w:hint="eastAsia" w:eastAsia="仿宋_GB2312" w:cs="Times New Roman"/>
          <w:color w:val="auto"/>
          <w:sz w:val="32"/>
          <w:szCs w:val="32"/>
          <w:lang w:val="en" w:eastAsia="zh-CN"/>
        </w:rPr>
        <w:t>。建设内容包括光伏发电场区和</w:t>
      </w:r>
      <w:r>
        <w:rPr>
          <w:rFonts w:hint="eastAsia" w:eastAsia="仿宋_GB2312" w:cs="Times New Roman"/>
          <w:color w:val="auto"/>
          <w:sz w:val="32"/>
          <w:szCs w:val="32"/>
          <w:lang w:val="en-US" w:eastAsia="zh-CN"/>
        </w:rPr>
        <w:t>35kV开关室及配套设施区，光伏组件经320kW组串式逆变器接入35kV箱变（3200kVA）就地升压至35kV，经35kV集电线路接入新建35kV开关室及配套设施区（预制舱式），</w:t>
      </w:r>
      <w:r>
        <w:rPr>
          <w:rFonts w:hint="eastAsia" w:eastAsia="仿宋_GB2312"/>
          <w:color w:val="auto"/>
          <w:sz w:val="32"/>
          <w:szCs w:val="32"/>
          <w:lang w:eastAsia="zh-CN"/>
        </w:rPr>
        <w:t>不含</w:t>
      </w:r>
      <w:r>
        <w:rPr>
          <w:rFonts w:hint="eastAsia" w:eastAsia="仿宋_GB2312"/>
          <w:color w:val="auto"/>
          <w:sz w:val="32"/>
          <w:szCs w:val="32"/>
          <w:lang w:val="en-US" w:eastAsia="zh-CN"/>
        </w:rPr>
        <w:t>35kV出线接至公共电网的线路</w:t>
      </w:r>
      <w:r>
        <w:rPr>
          <w:rFonts w:hint="eastAsia" w:eastAsia="仿宋_GB2312"/>
          <w:color w:val="auto"/>
          <w:sz w:val="32"/>
          <w:szCs w:val="32"/>
          <w:lang w:eastAsia="zh-CN"/>
        </w:rPr>
        <w:t>。</w:t>
      </w:r>
      <w:r>
        <w:rPr>
          <w:rFonts w:hint="eastAsia" w:eastAsia="仿宋_GB2312"/>
          <w:color w:val="auto"/>
          <w:sz w:val="32"/>
          <w:szCs w:val="32"/>
          <w:lang w:val="en-US" w:eastAsia="zh-CN"/>
        </w:rPr>
        <w:t>项目发电规模为47.17MWp，年平均发电量5866.85万kW·h，年等效满负荷小时数1243.65h。</w:t>
      </w:r>
      <w:r>
        <w:rPr>
          <w:rFonts w:hint="eastAsia" w:eastAsia="仿宋_GB2312"/>
          <w:color w:val="auto"/>
          <w:sz w:val="32"/>
          <w:szCs w:val="32"/>
        </w:rPr>
        <w:t>总投资为</w:t>
      </w:r>
      <w:r>
        <w:rPr>
          <w:rFonts w:hint="eastAsia" w:eastAsia="仿宋_GB2312"/>
          <w:color w:val="auto"/>
          <w:sz w:val="32"/>
          <w:szCs w:val="32"/>
          <w:lang w:val="en-US" w:eastAsia="zh-CN"/>
        </w:rPr>
        <w:t>26000</w:t>
      </w:r>
      <w:r>
        <w:rPr>
          <w:rFonts w:hint="eastAsia" w:eastAsia="仿宋_GB2312"/>
          <w:color w:val="auto"/>
          <w:sz w:val="32"/>
          <w:szCs w:val="32"/>
        </w:rPr>
        <w:t>万元，</w:t>
      </w:r>
      <w:r>
        <w:rPr>
          <w:rFonts w:eastAsia="仿宋_GB2312"/>
          <w:color w:val="auto"/>
          <w:sz w:val="32"/>
          <w:szCs w:val="32"/>
        </w:rPr>
        <w:t>环保投资</w:t>
      </w:r>
      <w:r>
        <w:rPr>
          <w:rFonts w:hint="eastAsia" w:eastAsia="仿宋_GB2312"/>
          <w:color w:val="auto"/>
          <w:sz w:val="32"/>
          <w:szCs w:val="32"/>
          <w:lang w:val="en-US" w:eastAsia="zh-CN"/>
        </w:rPr>
        <w:t>110</w:t>
      </w:r>
      <w:r>
        <w:rPr>
          <w:rFonts w:hint="eastAsia" w:eastAsia="仿宋_GB2312"/>
          <w:color w:val="auto"/>
          <w:sz w:val="32"/>
          <w:szCs w:val="32"/>
        </w:rPr>
        <w:t>万元</w:t>
      </w:r>
      <w:r>
        <w:rPr>
          <w:rFonts w:eastAsia="仿宋_GB2312"/>
          <w:color w:val="auto"/>
          <w:sz w:val="32"/>
          <w:szCs w:val="32"/>
        </w:rPr>
        <w:t>，</w:t>
      </w:r>
      <w:r>
        <w:rPr>
          <w:rFonts w:hint="eastAsia" w:eastAsia="仿宋_GB2312"/>
          <w:color w:val="auto"/>
          <w:sz w:val="32"/>
          <w:szCs w:val="32"/>
        </w:rPr>
        <w:t>约占总投资的0.</w:t>
      </w:r>
      <w:r>
        <w:rPr>
          <w:rFonts w:hint="eastAsia" w:eastAsia="仿宋_GB2312"/>
          <w:color w:val="auto"/>
          <w:sz w:val="32"/>
          <w:szCs w:val="32"/>
          <w:lang w:val="en-US" w:eastAsia="zh-CN"/>
        </w:rPr>
        <w:t>42</w:t>
      </w:r>
      <w:r>
        <w:rPr>
          <w:rFonts w:hint="eastAsia" w:eastAsia="仿宋_GB2312"/>
          <w:color w:val="auto"/>
          <w:sz w:val="32"/>
          <w:szCs w:val="32"/>
        </w:rPr>
        <w:t>%</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2022年11月15日</w:t>
      </w:r>
      <w:r>
        <w:rPr>
          <w:rFonts w:hint="default" w:ascii="Times New Roman" w:hAnsi="Times New Roman" w:eastAsia="仿宋_GB2312" w:cs="Times New Roman"/>
          <w:color w:val="auto"/>
          <w:sz w:val="32"/>
          <w:szCs w:val="32"/>
        </w:rPr>
        <w:t>至</w:t>
      </w: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日，我局将该项目</w:t>
      </w:r>
      <w:r>
        <w:rPr>
          <w:rFonts w:hint="default" w:ascii="Times New Roman" w:hAnsi="Times New Roman" w:eastAsia="仿宋_GB2312" w:cs="Times New Roman"/>
          <w:color w:val="auto"/>
          <w:sz w:val="32"/>
          <w:szCs w:val="32"/>
          <w:lang w:eastAsia="zh-CN"/>
        </w:rPr>
        <w:t>环评</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受理情况进行</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rPr>
        <w:t>公</w:t>
      </w:r>
      <w:r>
        <w:rPr>
          <w:rFonts w:hint="default" w:ascii="Times New Roman" w:hAnsi="Times New Roman" w:eastAsia="仿宋_GB2312" w:cs="Times New Roman"/>
          <w:color w:val="auto"/>
          <w:sz w:val="32"/>
          <w:szCs w:val="32"/>
          <w:lang w:val="en-US" w:eastAsia="zh-CN"/>
        </w:rPr>
        <w:t>示；</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将该项目</w:t>
      </w:r>
      <w:r>
        <w:rPr>
          <w:rFonts w:hint="default" w:ascii="Times New Roman" w:hAnsi="Times New Roman" w:eastAsia="仿宋_GB2312" w:cs="Times New Roman"/>
          <w:color w:val="auto"/>
          <w:sz w:val="32"/>
          <w:szCs w:val="32"/>
          <w:lang w:eastAsia="zh-CN"/>
        </w:rPr>
        <w:t>环评</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拟批复情况进行</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rPr>
        <w:t>公示；根据公众反馈意见情况及环评报告结论，在严格落实环评报告所提出的各项污染防治措施、确保各类污染物稳定达标的前提下，项目</w:t>
      </w:r>
      <w:r>
        <w:rPr>
          <w:rFonts w:hint="eastAsia" w:eastAsia="仿宋_GB2312" w:cs="Times New Roman"/>
          <w:color w:val="auto"/>
          <w:sz w:val="32"/>
          <w:szCs w:val="32"/>
          <w:lang w:eastAsia="zh-CN"/>
        </w:rPr>
        <w:t>具备环境可行性</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二、项目建设和运营期间，你公司应重点做好以下工作：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1.施工期间应严格执行国家相关环保法律法规和落实环评报告中提出的污染防范措施：做到合法施工，文明生产，减少扬尘污染；施工场地固体垃圾应</w:t>
      </w:r>
      <w:r>
        <w:rPr>
          <w:rFonts w:hint="eastAsia" w:eastAsia="仿宋_GB2312" w:cs="Times New Roman"/>
          <w:color w:val="auto"/>
          <w:sz w:val="32"/>
          <w:szCs w:val="32"/>
          <w:lang w:eastAsia="zh-CN"/>
        </w:rPr>
        <w:t>妥善处置</w:t>
      </w:r>
      <w:r>
        <w:rPr>
          <w:rFonts w:hint="default" w:ascii="Times New Roman" w:hAnsi="Times New Roman" w:eastAsia="仿宋_GB2312" w:cs="Times New Roman"/>
          <w:color w:val="auto"/>
          <w:sz w:val="32"/>
          <w:szCs w:val="32"/>
        </w:rPr>
        <w:t>；</w:t>
      </w:r>
      <w:r>
        <w:rPr>
          <w:rFonts w:hint="eastAsia" w:eastAsia="仿宋_GB2312"/>
          <w:color w:val="auto"/>
          <w:sz w:val="32"/>
          <w:szCs w:val="32"/>
          <w:lang w:eastAsia="zh-CN"/>
        </w:rPr>
        <w:t>妥善处理</w:t>
      </w:r>
      <w:r>
        <w:rPr>
          <w:rFonts w:hint="eastAsia" w:eastAsia="仿宋_GB2312"/>
          <w:color w:val="auto"/>
          <w:sz w:val="32"/>
          <w:szCs w:val="32"/>
        </w:rPr>
        <w:t>施工</w:t>
      </w:r>
      <w:r>
        <w:rPr>
          <w:rFonts w:hint="eastAsia" w:eastAsia="仿宋_GB2312"/>
          <w:color w:val="auto"/>
          <w:sz w:val="32"/>
          <w:szCs w:val="32"/>
          <w:lang w:eastAsia="zh-CN"/>
        </w:rPr>
        <w:t>产生的施工</w:t>
      </w:r>
      <w:r>
        <w:rPr>
          <w:rFonts w:hint="eastAsia" w:eastAsia="仿宋_GB2312"/>
          <w:color w:val="auto"/>
          <w:sz w:val="32"/>
          <w:szCs w:val="32"/>
        </w:rPr>
        <w:t>废水；</w:t>
      </w:r>
      <w:r>
        <w:rPr>
          <w:rFonts w:hint="default" w:ascii="Times New Roman" w:hAnsi="Times New Roman" w:eastAsia="仿宋_GB2312" w:cs="Times New Roman"/>
          <w:color w:val="auto"/>
          <w:sz w:val="32"/>
          <w:szCs w:val="32"/>
        </w:rPr>
        <w:t>合理安排施工时间和施工区域，加强对高噪声机械的管理。</w:t>
      </w:r>
    </w:p>
    <w:p>
      <w:pPr>
        <w:pStyle w:val="2"/>
        <w:pageBreakBefore w:val="0"/>
        <w:widowControl w:val="0"/>
        <w:kinsoku/>
        <w:wordWrap/>
        <w:overflowPunct/>
        <w:topLinePunct w:val="0"/>
        <w:autoSpaceDE/>
        <w:autoSpaceDN/>
        <w:bidi w:val="0"/>
        <w:snapToGrid/>
        <w:spacing w:line="600" w:lineRule="exact"/>
        <w:rPr>
          <w:rFonts w:hint="default" w:eastAsia="仿宋_GB2312"/>
          <w:color w:val="auto"/>
          <w:lang w:val="en-US" w:eastAsia="zh-CN"/>
        </w:rPr>
      </w:pPr>
      <w:r>
        <w:rPr>
          <w:rFonts w:hint="eastAsia" w:eastAsia="仿宋_GB2312" w:cs="Times New Roman"/>
          <w:color w:val="auto"/>
          <w:sz w:val="32"/>
          <w:szCs w:val="32"/>
          <w:lang w:val="en-US" w:eastAsia="zh-CN"/>
        </w:rPr>
        <w:t xml:space="preserve">    在邻近天津市</w:t>
      </w:r>
      <w:r>
        <w:rPr>
          <w:rFonts w:hint="default" w:ascii="Times New Roman" w:hAnsi="Times New Roman" w:eastAsia="仿宋_GB2312" w:cs="Times New Roman"/>
          <w:color w:val="auto"/>
          <w:sz w:val="32"/>
          <w:szCs w:val="32"/>
          <w:lang w:val="en-US" w:eastAsia="zh-CN"/>
        </w:rPr>
        <w:t>永久性保护生态区域</w:t>
      </w:r>
      <w:r>
        <w:rPr>
          <w:rFonts w:hint="eastAsia" w:eastAsia="仿宋_GB2312" w:cs="Times New Roman"/>
          <w:color w:val="auto"/>
          <w:sz w:val="32"/>
          <w:szCs w:val="32"/>
          <w:lang w:val="en-US" w:eastAsia="zh-CN"/>
        </w:rPr>
        <w:t>施工时，严禁在该</w:t>
      </w:r>
      <w:r>
        <w:rPr>
          <w:rFonts w:hint="default" w:ascii="Times New Roman" w:hAnsi="Times New Roman" w:eastAsia="仿宋_GB2312" w:cs="Times New Roman"/>
          <w:color w:val="auto"/>
          <w:sz w:val="32"/>
          <w:szCs w:val="32"/>
          <w:lang w:val="en-US" w:eastAsia="zh-CN"/>
        </w:rPr>
        <w:t>区域内</w:t>
      </w:r>
      <w:r>
        <w:rPr>
          <w:rFonts w:hint="default" w:ascii="Times New Roman" w:hAnsi="Times New Roman" w:eastAsia="仿宋_GB2312" w:cs="Times New Roman"/>
          <w:color w:val="auto"/>
          <w:sz w:val="32"/>
          <w:szCs w:val="32"/>
          <w:lang w:eastAsia="zh-CN"/>
        </w:rPr>
        <w:t>临时堆土</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严禁</w:t>
      </w:r>
      <w:r>
        <w:rPr>
          <w:rFonts w:hint="default" w:ascii="Times New Roman" w:hAnsi="Times New Roman" w:eastAsia="仿宋_GB2312" w:cs="Times New Roman"/>
          <w:color w:val="auto"/>
          <w:sz w:val="32"/>
          <w:szCs w:val="32"/>
          <w:lang w:eastAsia="zh-CN"/>
        </w:rPr>
        <w:t>设置临时料场</w:t>
      </w:r>
      <w:r>
        <w:rPr>
          <w:rFonts w:hint="default" w:ascii="Times New Roman" w:hAnsi="Times New Roman" w:eastAsia="仿宋_GB2312" w:cs="Times New Roman"/>
          <w:color w:val="auto"/>
          <w:sz w:val="32"/>
          <w:szCs w:val="32"/>
          <w:lang w:val="en-US" w:eastAsia="zh-CN"/>
        </w:rPr>
        <w:t>等</w:t>
      </w:r>
      <w:r>
        <w:rPr>
          <w:rFonts w:hint="eastAsia" w:eastAsia="仿宋_GB2312" w:cs="Times New Roman"/>
          <w:color w:val="auto"/>
          <w:sz w:val="32"/>
          <w:szCs w:val="32"/>
          <w:lang w:val="en-US" w:eastAsia="zh-CN"/>
        </w:rPr>
        <w:t>。</w:t>
      </w:r>
    </w:p>
    <w:p>
      <w:pPr>
        <w:pStyle w:val="2"/>
        <w:pageBreakBefore w:val="0"/>
        <w:widowControl w:val="0"/>
        <w:kinsoku/>
        <w:wordWrap/>
        <w:overflowPunct/>
        <w:topLinePunct w:val="0"/>
        <w:autoSpaceDE/>
        <w:autoSpaceDN/>
        <w:bidi w:val="0"/>
        <w:snapToGrid/>
        <w:spacing w:line="600" w:lineRule="exact"/>
        <w:ind w:firstLine="64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选用低噪声设备，确保厂界噪声</w:t>
      </w:r>
      <w:r>
        <w:rPr>
          <w:rFonts w:hint="eastAsia" w:ascii="Times New Roman" w:hAnsi="Times New Roman" w:eastAsia="仿宋_GB2312" w:cs="Times New Roman"/>
          <w:color w:val="auto"/>
          <w:sz w:val="32"/>
          <w:szCs w:val="32"/>
          <w:lang w:eastAsia="zh-CN"/>
        </w:rPr>
        <w:t>排放达标</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废蓄电池</w:t>
      </w:r>
      <w:r>
        <w:rPr>
          <w:rFonts w:hint="eastAsia" w:eastAsia="仿宋_GB2312" w:cs="Times New Roman"/>
          <w:color w:val="auto"/>
          <w:sz w:val="32"/>
          <w:szCs w:val="32"/>
          <w:lang w:val="en-US" w:eastAsia="zh-CN"/>
        </w:rPr>
        <w:t>作为</w:t>
      </w:r>
      <w:r>
        <w:rPr>
          <w:rFonts w:hint="default" w:ascii="Times New Roman" w:hAnsi="Times New Roman" w:eastAsia="仿宋_GB2312" w:cs="Times New Roman"/>
          <w:color w:val="auto"/>
          <w:sz w:val="32"/>
          <w:szCs w:val="32"/>
          <w:lang w:val="en-US" w:eastAsia="zh-CN"/>
        </w:rPr>
        <w:t>危险废物，应交由有资质的单位处置</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废光伏组件由厂家定期回收</w:t>
      </w:r>
      <w:r>
        <w:rPr>
          <w:rFonts w:hint="default" w:ascii="Times New Roman" w:hAnsi="Times New Roman" w:eastAsia="仿宋_GB2312" w:cs="Times New Roman"/>
          <w:color w:val="auto"/>
          <w:sz w:val="32"/>
          <w:szCs w:val="32"/>
          <w:lang w:val="en-US" w:eastAsia="zh-CN"/>
        </w:rPr>
        <w:t>。</w:t>
      </w:r>
    </w:p>
    <w:p>
      <w:pPr>
        <w:pageBreakBefore w:val="0"/>
        <w:widowControl w:val="0"/>
        <w:kinsoku/>
        <w:wordWrap/>
        <w:overflowPunct/>
        <w:topLinePunct w:val="0"/>
        <w:autoSpaceDE/>
        <w:autoSpaceDN/>
        <w:bidi w:val="0"/>
        <w:snapToGrid/>
        <w:spacing w:line="600" w:lineRule="exact"/>
        <w:ind w:firstLine="640"/>
        <w:rPr>
          <w:rFonts w:hint="eastAsia" w:ascii="Times New Roman" w:hAnsi="Times New Roman" w:eastAsia="仿宋_GB2312" w:cs="Times New Roman"/>
          <w:color w:val="auto"/>
          <w:kern w:val="24"/>
          <w:sz w:val="32"/>
          <w:szCs w:val="32"/>
          <w:lang w:val="en-US" w:eastAsia="zh-CN" w:bidi="ar-SA"/>
        </w:rPr>
      </w:pPr>
      <w:r>
        <w:rPr>
          <w:rFonts w:hint="eastAsia" w:eastAsia="仿宋_GB2312" w:cs="Times New Roman"/>
          <w:color w:val="auto"/>
          <w:sz w:val="32"/>
          <w:szCs w:val="32"/>
          <w:lang w:val="en-US" w:eastAsia="zh-CN"/>
        </w:rPr>
        <w:t>设置规范的危险废物暂存场所，并</w:t>
      </w:r>
      <w:r>
        <w:rPr>
          <w:rFonts w:hint="default" w:ascii="Times New Roman" w:hAnsi="Times New Roman" w:eastAsia="仿宋_GB2312" w:cs="Times New Roman"/>
          <w:color w:val="auto"/>
          <w:kern w:val="24"/>
          <w:sz w:val="32"/>
          <w:szCs w:val="32"/>
          <w:lang w:val="en-US" w:eastAsia="zh-CN" w:bidi="ar-SA"/>
        </w:rPr>
        <w:t>悬挂符合要求的标识牌</w:t>
      </w:r>
      <w:r>
        <w:rPr>
          <w:rFonts w:hint="eastAsia" w:ascii="Times New Roman" w:hAnsi="Times New Roman" w:eastAsia="仿宋_GB2312" w:cs="Times New Roman"/>
          <w:color w:val="auto"/>
          <w:kern w:val="24"/>
          <w:sz w:val="32"/>
          <w:szCs w:val="32"/>
          <w:lang w:val="en-US" w:eastAsia="zh-CN" w:bidi="ar-SA"/>
        </w:rPr>
        <w:t>。</w:t>
      </w:r>
    </w:p>
    <w:p>
      <w:pPr>
        <w:pageBreakBefore w:val="0"/>
        <w:widowControl w:val="0"/>
        <w:kinsoku/>
        <w:wordWrap/>
        <w:overflowPunct/>
        <w:topLinePunct w:val="0"/>
        <w:autoSpaceDE/>
        <w:autoSpaceDN/>
        <w:bidi w:val="0"/>
        <w:snapToGrid/>
        <w:spacing w:line="600" w:lineRule="exact"/>
        <w:ind w:firstLine="640"/>
        <w:rPr>
          <w:rFonts w:hint="eastAsia" w:eastAsia="宋体"/>
          <w:color w:val="auto"/>
          <w:lang w:val="en-US" w:eastAsia="zh-CN"/>
        </w:rPr>
      </w:pPr>
      <w:r>
        <w:rPr>
          <w:rFonts w:hint="eastAsia"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编制</w:t>
      </w:r>
      <w:r>
        <w:rPr>
          <w:rFonts w:hint="default" w:ascii="Times New Roman" w:hAnsi="Times New Roman" w:eastAsia="仿宋_GB2312" w:cs="Times New Roman"/>
          <w:color w:val="auto"/>
          <w:sz w:val="32"/>
          <w:szCs w:val="32"/>
          <w:lang w:eastAsia="zh-CN"/>
        </w:rPr>
        <w:t>突发环境风险应急预案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落实各项风险防范措施和应急措施</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三、该项目无新增污染物排放总量。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四、项目建设应严格执行环境保护设施与主体工程同时设计、同时施工、同时投产使用的</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三同时</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管理制度</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项目竣工后</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你公司应按规定的标准和程序开展环境保护验收，经验收合格后方可正式投入运营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若项目的性质、规模、地点、生产工艺或防治污染的措施发生重大变动，要重新报批环境影响评价文件。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、项目应执行以下标准：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《环境空气质量标准》（GB3095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2012）二级</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《声环境质量标准》（GB3096-2008）</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类</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《工业企业厂界环境噪声排放标准》（GB12348-2008）</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类</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4.《危险废物贮存污染控制标准》（GB18597-2001）；</w:t>
      </w:r>
    </w:p>
    <w:p>
      <w:pPr>
        <w:pStyle w:val="7"/>
        <w:pageBreakBefore w:val="0"/>
        <w:widowControl w:val="0"/>
        <w:kinsoku/>
        <w:wordWrap/>
        <w:overflowPunct/>
        <w:topLinePunct w:val="0"/>
        <w:autoSpaceDE/>
        <w:autoSpaceDN/>
        <w:bidi w:val="0"/>
        <w:snapToGrid/>
        <w:spacing w:line="600" w:lineRule="exact"/>
        <w:ind w:firstLine="662" w:firstLineChars="207"/>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5.《危险废物收集贮存运输技术规范》（HJ2025-2012）；</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6.《一般工业固体废物贮存和填埋污染控制标准》（</w:t>
      </w:r>
      <w:r>
        <w:rPr>
          <w:rFonts w:hint="default" w:eastAsia="仿宋_GB2312" w:cs="Times New Roman"/>
          <w:color w:val="auto"/>
          <w:sz w:val="32"/>
          <w:szCs w:val="32"/>
          <w:lang w:val="en-US" w:eastAsia="zh-CN"/>
        </w:rPr>
        <w:t>GB 18599-2020</w:t>
      </w:r>
      <w:r>
        <w:rPr>
          <w:rFonts w:hint="eastAsia" w:eastAsia="仿宋_GB2312" w:cs="Times New Roman"/>
          <w:color w:val="auto"/>
          <w:sz w:val="32"/>
          <w:szCs w:val="32"/>
          <w:lang w:val="en-US" w:eastAsia="zh-CN"/>
        </w:rPr>
        <w:t>）</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《建筑施工场界环境噪声排放标准》（GB12523-2011）</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eastAsia="仿宋_GB2312" w:cs="Times New Roman"/>
          <w:color w:val="auto"/>
          <w:sz w:val="32"/>
          <w:szCs w:val="32"/>
          <w:lang w:eastAsia="zh-CN"/>
        </w:rPr>
      </w:pPr>
      <w:r>
        <w:rPr>
          <w:rFonts w:hint="default" w:ascii="Times New Roman" w:hAnsi="Times New Roman" w:eastAsia="仿宋_GB2312" w:cs="Times New Roman"/>
          <w:color w:val="auto"/>
          <w:sz w:val="32"/>
          <w:szCs w:val="32"/>
        </w:rPr>
        <w:t>此复</w:t>
      </w:r>
      <w:r>
        <w:rPr>
          <w:rFonts w:hint="eastAsia" w:eastAsia="仿宋_GB2312" w:cs="Times New Roman"/>
          <w:color w:val="auto"/>
          <w:sz w:val="32"/>
          <w:szCs w:val="32"/>
          <w:lang w:eastAsia="zh-CN"/>
        </w:rPr>
        <w:t>。</w:t>
      </w:r>
    </w:p>
    <w:p>
      <w:pPr>
        <w:pStyle w:val="2"/>
        <w:rPr>
          <w:rFonts w:hint="eastAsia" w:eastAsia="仿宋_GB2312" w:cs="Times New Roman"/>
          <w:color w:val="auto"/>
          <w:sz w:val="32"/>
          <w:szCs w:val="32"/>
          <w:lang w:eastAsia="zh-CN"/>
        </w:rPr>
      </w:pPr>
    </w:p>
    <w:p>
      <w:pPr>
        <w:pStyle w:val="2"/>
        <w:rPr>
          <w:rFonts w:hint="eastAsia"/>
          <w:color w:val="auto"/>
          <w:lang w:eastAsia="zh-CN"/>
        </w:rPr>
      </w:pPr>
    </w:p>
    <w:p>
      <w:pPr>
        <w:rPr>
          <w:rFonts w:hint="default"/>
          <w:color w:val="auto"/>
        </w:rPr>
      </w:pPr>
    </w:p>
    <w:p>
      <w:pPr>
        <w:rPr>
          <w:rFonts w:hint="default"/>
          <w:color w:val="auto"/>
        </w:rPr>
      </w:pPr>
    </w:p>
    <w:p>
      <w:pPr>
        <w:wordWrap w:val="0"/>
        <w:ind w:firstLine="3200" w:firstLineChars="1000"/>
        <w:jc w:val="right"/>
        <w:rPr>
          <w:rFonts w:hint="eastAsia" w:eastAsia="仿宋_GB2312"/>
          <w:color w:val="auto"/>
          <w:sz w:val="32"/>
          <w:lang w:val="en-US" w:eastAsia="zh-CN"/>
        </w:rPr>
      </w:pPr>
      <w:r>
        <w:rPr>
          <w:rFonts w:hint="eastAsia" w:eastAsia="仿宋_GB2312"/>
          <w:color w:val="auto"/>
          <w:sz w:val="32"/>
        </w:rPr>
        <w:t xml:space="preserve">              </w:t>
      </w:r>
      <w:r>
        <w:rPr>
          <w:rFonts w:hint="eastAsia" w:eastAsia="仿宋_GB2312"/>
          <w:color w:val="auto"/>
          <w:sz w:val="32"/>
          <w:lang w:val="en-US" w:eastAsia="zh-CN"/>
        </w:rPr>
        <w:t xml:space="preserve">2022年11月30日   </w:t>
      </w:r>
    </w:p>
    <w:p>
      <w:pPr>
        <w:pStyle w:val="2"/>
        <w:wordWrap/>
        <w:rPr>
          <w:rFonts w:hint="eastAsia"/>
          <w:color w:val="auto"/>
          <w:sz w:val="11"/>
          <w:szCs w:val="11"/>
          <w:lang w:val="en-US" w:eastAsia="zh-CN"/>
        </w:rPr>
      </w:pPr>
    </w:p>
    <w:p>
      <w:pPr>
        <w:spacing w:line="680" w:lineRule="exact"/>
        <w:rPr>
          <w:rFonts w:hint="eastAsia" w:eastAsia="仿宋_GB2312"/>
          <w:color w:val="auto"/>
          <w:sz w:val="28"/>
          <w:szCs w:val="28"/>
        </w:rPr>
      </w:pPr>
      <w:r>
        <w:rPr>
          <w:rFonts w:eastAsia="仿宋_GB2312"/>
          <w:color w:val="auto"/>
          <w:sz w:val="28"/>
          <w:szCs w:val="28"/>
        </w:rPr>
        <w:t>主题词：环境影响 报告</w:t>
      </w:r>
      <w:r>
        <w:rPr>
          <w:rFonts w:hint="eastAsia" w:eastAsia="仿宋_GB2312"/>
          <w:color w:val="auto"/>
          <w:sz w:val="28"/>
          <w:szCs w:val="28"/>
          <w:lang w:eastAsia="zh-CN"/>
        </w:rPr>
        <w:t>表</w:t>
      </w:r>
      <w:r>
        <w:rPr>
          <w:rFonts w:eastAsia="仿宋_GB2312"/>
          <w:color w:val="auto"/>
          <w:sz w:val="28"/>
          <w:szCs w:val="28"/>
        </w:rPr>
        <w:t xml:space="preserve"> 批复        </w:t>
      </w:r>
      <w:r>
        <w:rPr>
          <w:rFonts w:hint="eastAsia"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仿宋_GB2312"/>
          <w:color w:val="auto"/>
          <w:sz w:val="28"/>
          <w:szCs w:val="28"/>
        </w:rPr>
        <w:t xml:space="preserve">  （</w:t>
      </w:r>
      <w:r>
        <w:rPr>
          <w:rFonts w:eastAsia="仿宋_GB2312"/>
          <w:color w:val="auto"/>
          <w:sz w:val="28"/>
          <w:szCs w:val="28"/>
        </w:rPr>
        <w:t>共印4份）</w:t>
      </w:r>
    </w:p>
    <w:tbl>
      <w:tblPr>
        <w:tblStyle w:val="4"/>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9054"/>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9054" w:type="dxa"/>
            <w:tcBorders>
              <w:top w:val="single" w:color="auto" w:sz="8" w:space="0"/>
              <w:bottom w:val="single" w:color="auto" w:sz="8" w:space="0"/>
            </w:tcBorders>
            <w:vAlign w:val="top"/>
          </w:tcPr>
          <w:p>
            <w:pPr>
              <w:spacing w:line="680" w:lineRule="exact"/>
              <w:ind w:right="160"/>
              <w:rPr>
                <w:color w:val="auto"/>
                <w:sz w:val="32"/>
              </w:rPr>
            </w:pPr>
            <w:r>
              <w:rPr>
                <w:rFonts w:eastAsia="仿宋_GB2312"/>
                <w:color w:val="auto"/>
                <w:sz w:val="28"/>
                <w:szCs w:val="28"/>
              </w:rPr>
              <w:t>抄</w:t>
            </w:r>
            <w:r>
              <w:rPr>
                <w:rFonts w:hint="eastAsia" w:eastAsia="仿宋_GB2312"/>
                <w:color w:val="auto"/>
                <w:sz w:val="28"/>
                <w:szCs w:val="28"/>
                <w:lang w:val="en-US" w:eastAsia="zh-CN"/>
              </w:rPr>
              <w:t xml:space="preserve">  </w:t>
            </w:r>
            <w:r>
              <w:rPr>
                <w:rFonts w:eastAsia="仿宋_GB2312"/>
                <w:color w:val="auto"/>
                <w:sz w:val="28"/>
                <w:szCs w:val="28"/>
              </w:rPr>
              <w:t>送：天津市滨海新区生态环境局</w:t>
            </w:r>
          </w:p>
        </w:tc>
      </w:tr>
    </w:tbl>
    <w:p>
      <w:pPr>
        <w:rPr>
          <w:color w:val="auto"/>
        </w:rPr>
      </w:pPr>
      <w:r>
        <w:rPr>
          <w:rFonts w:hint="eastAsia" w:eastAsia="仿宋_GB2312"/>
          <w:color w:val="auto"/>
          <w:sz w:val="28"/>
          <w:szCs w:val="28"/>
        </w:rPr>
        <w:t xml:space="preserve">天津市滨海新区行政审批局             </w:t>
      </w:r>
      <w:r>
        <w:rPr>
          <w:rFonts w:hint="eastAsia" w:eastAsia="仿宋_GB2312"/>
          <w:color w:val="auto"/>
          <w:sz w:val="28"/>
          <w:szCs w:val="28"/>
          <w:lang w:val="en-US" w:eastAsia="zh-CN"/>
        </w:rPr>
        <w:t xml:space="preserve">     2022年11月30日</w:t>
      </w:r>
      <w:r>
        <w:rPr>
          <w:rFonts w:eastAsia="仿宋_GB2312"/>
          <w:color w:val="auto"/>
          <w:sz w:val="28"/>
          <w:szCs w:val="28"/>
        </w:rPr>
        <w:t>印发</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DJlMzAwZTE0OTRjMTQ5OTJjY2ZiMzRkMmYxNjUifQ=="/>
  </w:docVars>
  <w:rsids>
    <w:rsidRoot w:val="5B2804B1"/>
    <w:rsid w:val="09F77C14"/>
    <w:rsid w:val="0CF44850"/>
    <w:rsid w:val="0ECC2841"/>
    <w:rsid w:val="203037AF"/>
    <w:rsid w:val="2E775A0A"/>
    <w:rsid w:val="2F477370"/>
    <w:rsid w:val="34A46E6C"/>
    <w:rsid w:val="36D26DF4"/>
    <w:rsid w:val="3E173B65"/>
    <w:rsid w:val="41F34B37"/>
    <w:rsid w:val="430E5D88"/>
    <w:rsid w:val="490B2F5B"/>
    <w:rsid w:val="4A4B41A6"/>
    <w:rsid w:val="5B2804B1"/>
    <w:rsid w:val="5CDA6E8D"/>
    <w:rsid w:val="65CD0FB0"/>
    <w:rsid w:val="69AD35D6"/>
    <w:rsid w:val="6D4D4658"/>
    <w:rsid w:val="715A1DE2"/>
    <w:rsid w:val="761A3150"/>
    <w:rsid w:val="7FBCF273"/>
    <w:rsid w:val="E3BF68D1"/>
    <w:rsid w:val="FFCA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中文报告书样式"/>
    <w:basedOn w:val="1"/>
    <w:qFormat/>
    <w:uiPriority w:val="0"/>
    <w:pPr>
      <w:adjustRightInd w:val="0"/>
      <w:spacing w:line="420" w:lineRule="atLeast"/>
      <w:jc w:val="left"/>
      <w:textAlignment w:val="baseline"/>
    </w:pPr>
    <w:rPr>
      <w:kern w:val="24"/>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1135</Words>
  <Characters>1320</Characters>
  <Lines>0</Lines>
  <Paragraphs>0</Paragraphs>
  <TotalTime>7</TotalTime>
  <ScaleCrop>false</ScaleCrop>
  <LinksUpToDate>false</LinksUpToDate>
  <CharactersWithSpaces>1387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2021-08-24T13:47:00Z</dcterms:created>
  <dc:creator>审批二室</dc:creator>
  <cp:lastModifiedBy>暴风雨</cp:lastModifiedBy>
  <dcterms:modified xsi:type="dcterms:W3CDTF">2022-12-01T03:07:18Z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D4BD87CD71A943BA96C9A159F7BA246C</vt:lpwstr>
  </property>
</Properties>
</file>