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360" w:lineRule="auto"/>
        <w:jc w:val="center"/>
        <w:rPr>
          <w:rFonts w:ascii="仿宋_GB2312" w:eastAsia="仿宋_GB2312"/>
          <w:sz w:val="32"/>
          <w:szCs w:val="32"/>
        </w:rPr>
      </w:pPr>
    </w:p>
    <w:p>
      <w:pPr>
        <w:jc w:val="center"/>
        <w:rPr>
          <w:rFonts w:hint="default" w:ascii="Times New Roman" w:hAnsi="Times New Roman" w:eastAsia="仿宋_GB2312" w:cs="Times New Roman"/>
          <w:sz w:val="32"/>
          <w:szCs w:val="32"/>
        </w:rPr>
      </w:pPr>
    </w:p>
    <w:p>
      <w:pPr>
        <w:jc w:val="center"/>
        <w:rPr>
          <w:rFonts w:ascii="仿宋_GB2312" w:eastAsia="仿宋_GB2312"/>
          <w:sz w:val="32"/>
          <w:szCs w:val="32"/>
        </w:rPr>
      </w:pPr>
      <w:bookmarkStart w:id="0" w:name="_GoBack"/>
      <w:r>
        <w:rPr>
          <w:rFonts w:hint="default" w:ascii="Times New Roman" w:hAnsi="Times New Roman" w:eastAsia="仿宋_GB2312" w:cs="Times New Roman"/>
          <w:sz w:val="32"/>
          <w:szCs w:val="32"/>
        </w:rPr>
        <w:t>津滨审批二室准〔20</w:t>
      </w:r>
      <w:r>
        <w:rPr>
          <w:rFonts w:hint="eastAsia"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211</w:t>
      </w:r>
      <w:r>
        <w:rPr>
          <w:rFonts w:hint="default" w:ascii="Times New Roman" w:hAnsi="Times New Roman" w:eastAsia="仿宋_GB2312" w:cs="Times New Roman"/>
          <w:sz w:val="32"/>
          <w:szCs w:val="32"/>
        </w:rPr>
        <w:t>号</w:t>
      </w:r>
    </w:p>
    <w:bookmarkEnd w:id="0"/>
    <w:p>
      <w:pPr>
        <w:rPr>
          <w:rFonts w:ascii="仿宋_GB2312" w:eastAsia="仿宋_GB2312"/>
          <w:sz w:val="32"/>
          <w:szCs w:val="32"/>
        </w:rPr>
      </w:pPr>
    </w:p>
    <w:p>
      <w:pPr>
        <w:pStyle w:val="7"/>
        <w:spacing w:line="580" w:lineRule="exact"/>
        <w:jc w:val="center"/>
        <w:rPr>
          <w:rFonts w:hint="eastAsia" w:ascii="方正小标宋简体" w:hAnsi="宋体" w:eastAsia="方正小标宋简体"/>
          <w:color w:val="000000"/>
          <w:sz w:val="44"/>
        </w:rPr>
      </w:pPr>
    </w:p>
    <w:p>
      <w:pPr>
        <w:pStyle w:val="7"/>
        <w:spacing w:line="580" w:lineRule="exact"/>
        <w:jc w:val="center"/>
        <w:rPr>
          <w:rFonts w:hint="eastAsia" w:ascii="黑体" w:hAnsi="黑体" w:eastAsia="黑体" w:cs="黑体"/>
          <w:color w:val="000000"/>
          <w:sz w:val="44"/>
          <w:lang w:eastAsia="zh-CN"/>
        </w:rPr>
      </w:pPr>
      <w:r>
        <w:rPr>
          <w:rFonts w:hint="eastAsia" w:ascii="黑体" w:hAnsi="黑体" w:eastAsia="黑体" w:cs="黑体"/>
          <w:color w:val="000000"/>
          <w:sz w:val="44"/>
        </w:rPr>
        <w:t>关于</w:t>
      </w:r>
      <w:r>
        <w:rPr>
          <w:rFonts w:hint="eastAsia" w:ascii="黑体" w:hAnsi="黑体" w:eastAsia="黑体" w:cs="黑体"/>
          <w:color w:val="000000"/>
          <w:sz w:val="44"/>
          <w:lang w:eastAsia="zh-CN"/>
        </w:rPr>
        <w:t>天津市滨海新区杨家泊镇通威渔光一体</w:t>
      </w:r>
    </w:p>
    <w:p>
      <w:pPr>
        <w:pStyle w:val="7"/>
        <w:spacing w:line="580" w:lineRule="exact"/>
        <w:jc w:val="center"/>
        <w:rPr>
          <w:rFonts w:hint="eastAsia" w:ascii="黑体" w:hAnsi="黑体" w:eastAsia="黑体" w:cs="黑体"/>
          <w:color w:val="000000"/>
          <w:sz w:val="44"/>
          <w:lang w:eastAsia="zh-CN"/>
        </w:rPr>
      </w:pPr>
      <w:r>
        <w:rPr>
          <w:rFonts w:hint="eastAsia" w:ascii="黑体" w:hAnsi="黑体" w:eastAsia="黑体" w:cs="黑体"/>
          <w:color w:val="000000"/>
          <w:sz w:val="44"/>
          <w:lang w:eastAsia="zh-CN"/>
        </w:rPr>
        <w:t>现代（淡水）渔业园（光伏部分）项目</w:t>
      </w:r>
    </w:p>
    <w:p>
      <w:pPr>
        <w:pStyle w:val="7"/>
        <w:spacing w:line="580" w:lineRule="exact"/>
        <w:jc w:val="center"/>
        <w:rPr>
          <w:rFonts w:hint="eastAsia" w:ascii="黑体" w:hAnsi="黑体" w:eastAsia="黑体" w:cs="黑体"/>
          <w:color w:val="000000"/>
          <w:sz w:val="44"/>
        </w:rPr>
      </w:pPr>
      <w:r>
        <w:rPr>
          <w:rFonts w:hint="eastAsia" w:ascii="黑体" w:hAnsi="黑体" w:eastAsia="黑体" w:cs="黑体"/>
          <w:color w:val="000000"/>
          <w:sz w:val="44"/>
          <w:lang w:eastAsia="zh-CN"/>
        </w:rPr>
        <w:t>（一阶段）</w:t>
      </w:r>
      <w:r>
        <w:rPr>
          <w:rFonts w:hint="eastAsia" w:ascii="黑体" w:hAnsi="黑体" w:eastAsia="黑体" w:cs="黑体"/>
          <w:color w:val="000000"/>
          <w:sz w:val="44"/>
        </w:rPr>
        <w:t>环境影响报告表的批复</w:t>
      </w:r>
    </w:p>
    <w:p>
      <w:pPr>
        <w:spacing w:line="0" w:lineRule="atLeast"/>
        <w:jc w:val="center"/>
        <w:rPr>
          <w:rFonts w:ascii="宋体" w:hAnsi="宋体"/>
          <w:b/>
          <w:color w:val="000000"/>
          <w:sz w:val="44"/>
        </w:rPr>
      </w:pPr>
    </w:p>
    <w:p>
      <w:pPr>
        <w:keepNext w:val="0"/>
        <w:keepLines w:val="0"/>
        <w:pageBreakBefore w:val="0"/>
        <w:widowControl w:val="0"/>
        <w:kinsoku/>
        <w:wordWrap/>
        <w:overflowPunct/>
        <w:topLinePunct w:val="0"/>
        <w:autoSpaceDE/>
        <w:autoSpaceDN/>
        <w:bidi w:val="0"/>
        <w:adjustRightInd/>
        <w:snapToGrid/>
        <w:spacing w:line="600" w:lineRule="exact"/>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天津滨海新区通力新能源有限公司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你公司呈报的《</w:t>
      </w:r>
      <w:r>
        <w:rPr>
          <w:rFonts w:hint="eastAsia" w:eastAsia="仿宋_GB2312" w:cs="Times New Roman"/>
          <w:sz w:val="32"/>
          <w:szCs w:val="32"/>
          <w:lang w:val="en" w:eastAsia="zh-CN"/>
        </w:rPr>
        <w:t>天津市滨海新区杨家泊镇通威渔光一体现代（淡水）渔业园（光伏部分）项目（一阶段）</w:t>
      </w:r>
      <w:r>
        <w:rPr>
          <w:rFonts w:hint="default" w:ascii="Times New Roman" w:hAnsi="Times New Roman" w:eastAsia="仿宋_GB2312" w:cs="Times New Roman"/>
          <w:sz w:val="32"/>
          <w:szCs w:val="32"/>
        </w:rPr>
        <w:t>环境影响报告表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请示》</w:t>
      </w:r>
      <w:r>
        <w:rPr>
          <w:rFonts w:eastAsia="仿宋_GB2312"/>
          <w:sz w:val="32"/>
          <w:szCs w:val="32"/>
        </w:rPr>
        <w:t>、</w:t>
      </w:r>
      <w:r>
        <w:rPr>
          <w:rFonts w:hint="eastAsia" w:eastAsia="仿宋_GB2312"/>
          <w:sz w:val="32"/>
          <w:szCs w:val="32"/>
          <w:lang w:val="en-US" w:eastAsia="zh-CN"/>
        </w:rPr>
        <w:t>联合泰泽环境科技发展有限公司</w:t>
      </w:r>
      <w:r>
        <w:rPr>
          <w:rFonts w:hint="default" w:ascii="Times New Roman" w:hAnsi="Times New Roman" w:eastAsia="仿宋_GB2312" w:cs="Times New Roman"/>
          <w:sz w:val="32"/>
          <w:szCs w:val="32"/>
        </w:rPr>
        <w:t>《</w:t>
      </w:r>
      <w:r>
        <w:rPr>
          <w:rFonts w:hint="eastAsia" w:eastAsia="仿宋_GB2312" w:cs="Times New Roman"/>
          <w:sz w:val="32"/>
          <w:szCs w:val="32"/>
          <w:lang w:val="en" w:eastAsia="zh-CN"/>
        </w:rPr>
        <w:t>天津市滨海新区杨家泊镇通威渔光一体现代（淡水）渔业园（光伏部分）项目（一阶段）</w:t>
      </w:r>
      <w:r>
        <w:rPr>
          <w:rFonts w:hint="default" w:ascii="Times New Roman" w:hAnsi="Times New Roman" w:eastAsia="仿宋_GB2312" w:cs="Times New Roman"/>
          <w:sz w:val="32"/>
          <w:szCs w:val="32"/>
        </w:rPr>
        <w:t>环境影响报告表》</w:t>
      </w:r>
      <w:r>
        <w:rPr>
          <w:rFonts w:hint="eastAsia" w:eastAsia="仿宋_GB2312" w:cs="Times New Roman"/>
          <w:sz w:val="32"/>
          <w:szCs w:val="32"/>
          <w:lang w:val="en-US" w:eastAsia="zh-CN"/>
        </w:rPr>
        <w:t>及其附件</w:t>
      </w:r>
      <w:r>
        <w:rPr>
          <w:rFonts w:hint="default" w:ascii="Times New Roman" w:hAnsi="Times New Roman" w:eastAsia="仿宋_GB2312" w:cs="Times New Roman"/>
          <w:sz w:val="32"/>
          <w:szCs w:val="32"/>
        </w:rPr>
        <w:t>收悉。经研究，现批复如下：</w:t>
      </w:r>
    </w:p>
    <w:p>
      <w:pPr>
        <w:pageBreakBefore w:val="0"/>
        <w:widowControl w:val="0"/>
        <w:kinsoku/>
        <w:wordWrap/>
        <w:overflowPunct/>
        <w:topLinePunct w:val="0"/>
        <w:autoSpaceDE/>
        <w:autoSpaceDN/>
        <w:bidi w:val="0"/>
        <w:snapToGrid/>
        <w:spacing w:line="600" w:lineRule="exact"/>
        <w:ind w:firstLine="640" w:firstLineChars="200"/>
        <w:textAlignment w:val="baseline"/>
        <w:rPr>
          <w:rFonts w:eastAsia="仿宋_GB2312"/>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你公司拟</w:t>
      </w:r>
      <w:r>
        <w:rPr>
          <w:rFonts w:hint="eastAsia" w:eastAsia="仿宋_GB2312" w:cs="Times New Roman"/>
          <w:sz w:val="32"/>
          <w:szCs w:val="32"/>
          <w:lang w:eastAsia="zh-CN"/>
        </w:rPr>
        <w:t>在滨海新区杨家泊镇罗卜坨村和高庄村所属周边坑塘水面，新建</w:t>
      </w:r>
      <w:r>
        <w:rPr>
          <w:rFonts w:hint="eastAsia" w:eastAsia="仿宋_GB2312" w:cs="Times New Roman"/>
          <w:sz w:val="32"/>
          <w:szCs w:val="32"/>
          <w:lang w:val="en-US" w:eastAsia="zh-CN"/>
        </w:rPr>
        <w:t>168MW光伏发电系统（由58个光伏发电子系统组成）；新建35kV集电线路约60千米（其中10千米采用桥架方式敷设，50千米采用直埋方式敷设）；</w:t>
      </w:r>
      <w:r>
        <w:rPr>
          <w:rFonts w:hint="eastAsia" w:eastAsia="仿宋_GB2312"/>
          <w:bCs/>
          <w:sz w:val="32"/>
          <w:szCs w:val="32"/>
          <w:lang w:eastAsia="zh-CN"/>
        </w:rPr>
        <w:t>在现状海水</w:t>
      </w:r>
      <w:r>
        <w:rPr>
          <w:rFonts w:hint="eastAsia" w:eastAsia="仿宋_GB2312"/>
          <w:bCs/>
          <w:sz w:val="32"/>
          <w:szCs w:val="32"/>
          <w:lang w:val="en-US" w:eastAsia="zh-CN"/>
        </w:rPr>
        <w:t>110kV升压站内新增一台200MVA主变（电压等级220/35kV）。项目</w:t>
      </w:r>
      <w:r>
        <w:rPr>
          <w:rFonts w:hint="eastAsia" w:eastAsia="仿宋_GB2312"/>
          <w:sz w:val="32"/>
          <w:szCs w:val="32"/>
        </w:rPr>
        <w:t>总投资为</w:t>
      </w:r>
      <w:r>
        <w:rPr>
          <w:rFonts w:hint="eastAsia" w:eastAsia="仿宋_GB2312"/>
          <w:sz w:val="32"/>
          <w:szCs w:val="32"/>
          <w:lang w:val="en-US" w:eastAsia="zh-CN"/>
        </w:rPr>
        <w:t>75000</w:t>
      </w:r>
      <w:r>
        <w:rPr>
          <w:rFonts w:hint="eastAsia" w:eastAsia="仿宋_GB2312"/>
          <w:sz w:val="32"/>
          <w:szCs w:val="32"/>
        </w:rPr>
        <w:t>万元，</w:t>
      </w:r>
      <w:r>
        <w:rPr>
          <w:rFonts w:eastAsia="仿宋_GB2312"/>
          <w:sz w:val="32"/>
          <w:szCs w:val="32"/>
        </w:rPr>
        <w:t>环保投资</w:t>
      </w:r>
      <w:r>
        <w:rPr>
          <w:rFonts w:hint="eastAsia" w:eastAsia="仿宋_GB2312"/>
          <w:sz w:val="32"/>
          <w:szCs w:val="32"/>
          <w:lang w:val="en-US" w:eastAsia="zh-CN"/>
        </w:rPr>
        <w:t>95</w:t>
      </w:r>
      <w:r>
        <w:rPr>
          <w:rFonts w:hint="eastAsia" w:eastAsia="仿宋_GB2312"/>
          <w:sz w:val="32"/>
          <w:szCs w:val="32"/>
        </w:rPr>
        <w:t>万元</w:t>
      </w:r>
      <w:r>
        <w:rPr>
          <w:rFonts w:eastAsia="仿宋_GB2312"/>
          <w:sz w:val="32"/>
          <w:szCs w:val="32"/>
        </w:rPr>
        <w:t>，</w:t>
      </w:r>
      <w:r>
        <w:rPr>
          <w:rFonts w:hint="eastAsia" w:eastAsia="仿宋_GB2312"/>
          <w:sz w:val="32"/>
          <w:szCs w:val="32"/>
        </w:rPr>
        <w:t>约占总投资的0.</w:t>
      </w:r>
      <w:r>
        <w:rPr>
          <w:rFonts w:hint="eastAsia" w:eastAsia="仿宋_GB2312"/>
          <w:sz w:val="32"/>
          <w:szCs w:val="32"/>
          <w:lang w:val="en-US" w:eastAsia="zh-CN"/>
        </w:rPr>
        <w:t>13</w:t>
      </w:r>
      <w:r>
        <w:rPr>
          <w:rFonts w:hint="eastAsia" w:eastAsia="仿宋_GB2312"/>
          <w:sz w:val="32"/>
          <w:szCs w:val="32"/>
        </w:rPr>
        <w:t>%</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2022年11月4日</w:t>
      </w:r>
      <w:r>
        <w:rPr>
          <w:rFonts w:hint="default" w:ascii="Times New Roman" w:hAnsi="Times New Roman" w:eastAsia="仿宋_GB2312" w:cs="Times New Roman"/>
          <w:sz w:val="32"/>
          <w:szCs w:val="32"/>
        </w:rPr>
        <w:t>至</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日，我局将该项目</w:t>
      </w:r>
      <w:r>
        <w:rPr>
          <w:rFonts w:hint="default" w:ascii="Times New Roman" w:hAnsi="Times New Roman" w:eastAsia="仿宋_GB2312" w:cs="Times New Roman"/>
          <w:sz w:val="32"/>
          <w:szCs w:val="32"/>
          <w:lang w:eastAsia="zh-CN"/>
        </w:rPr>
        <w:t>环评</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受理情况进行</w:t>
      </w:r>
      <w:r>
        <w:rPr>
          <w:rFonts w:hint="eastAsia" w:eastAsia="仿宋_GB2312" w:cs="Times New Roman"/>
          <w:sz w:val="32"/>
          <w:szCs w:val="32"/>
          <w:lang w:val="en-US" w:eastAsia="zh-CN"/>
        </w:rPr>
        <w:t>了</w:t>
      </w:r>
      <w:r>
        <w:rPr>
          <w:rFonts w:hint="default" w:ascii="Times New Roman" w:hAnsi="Times New Roman" w:eastAsia="仿宋_GB2312" w:cs="Times New Roman"/>
          <w:sz w:val="32"/>
          <w:szCs w:val="32"/>
        </w:rPr>
        <w:t>公</w:t>
      </w:r>
      <w:r>
        <w:rPr>
          <w:rFonts w:hint="default" w:eastAsia="仿宋_GB2312" w:cs="Times New Roman"/>
          <w:sz w:val="32"/>
          <w:szCs w:val="32"/>
          <w:lang w:val="en-US" w:eastAsia="zh-CN"/>
        </w:rPr>
        <w:t>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将该项目</w:t>
      </w:r>
      <w:r>
        <w:rPr>
          <w:rFonts w:hint="default" w:ascii="Times New Roman" w:hAnsi="Times New Roman" w:eastAsia="仿宋_GB2312" w:cs="Times New Roman"/>
          <w:sz w:val="32"/>
          <w:szCs w:val="32"/>
          <w:lang w:eastAsia="zh-CN"/>
        </w:rPr>
        <w:t>环评</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拟批复情况进行</w:t>
      </w:r>
      <w:r>
        <w:rPr>
          <w:rFonts w:hint="eastAsia" w:eastAsia="仿宋_GB2312" w:cs="Times New Roman"/>
          <w:sz w:val="32"/>
          <w:szCs w:val="32"/>
          <w:lang w:val="en-US" w:eastAsia="zh-CN"/>
        </w:rPr>
        <w:t>了</w:t>
      </w:r>
      <w:r>
        <w:rPr>
          <w:rFonts w:hint="default" w:ascii="Times New Roman" w:hAnsi="Times New Roman" w:eastAsia="仿宋_GB2312" w:cs="Times New Roman"/>
          <w:sz w:val="32"/>
          <w:szCs w:val="32"/>
        </w:rPr>
        <w:t>公示；根据公众反馈意见情况及环评报告结论，在严格落实环评报告所提出的各项污染防治措施、确保各类污染物稳定达标的前提下，项目</w:t>
      </w:r>
      <w:r>
        <w:rPr>
          <w:rFonts w:hint="eastAsia" w:eastAsia="仿宋_GB2312" w:cs="Times New Roman"/>
          <w:sz w:val="32"/>
          <w:szCs w:val="32"/>
          <w:lang w:eastAsia="zh-CN"/>
        </w:rPr>
        <w:t>具备环境可行性</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二、项目建设和运营期间，你公司应重点做好以下工作：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1.施工期间应严格执行国家相关环保法律法规和落实环评报告中提出的污染防范措施：做到合法施工，文明生产，减少扬尘污染；施工场地固体垃圾应</w:t>
      </w:r>
      <w:r>
        <w:rPr>
          <w:rFonts w:hint="eastAsia" w:eastAsia="仿宋_GB2312" w:cs="Times New Roman"/>
          <w:sz w:val="32"/>
          <w:szCs w:val="32"/>
          <w:lang w:eastAsia="zh-CN"/>
        </w:rPr>
        <w:t>妥善处置</w:t>
      </w:r>
      <w:r>
        <w:rPr>
          <w:rFonts w:hint="default" w:ascii="Times New Roman" w:hAnsi="Times New Roman" w:eastAsia="仿宋_GB2312" w:cs="Times New Roman"/>
          <w:sz w:val="32"/>
          <w:szCs w:val="32"/>
        </w:rPr>
        <w:t>；</w:t>
      </w:r>
      <w:r>
        <w:rPr>
          <w:rFonts w:hint="eastAsia" w:eastAsia="仿宋_GB2312"/>
          <w:sz w:val="32"/>
          <w:szCs w:val="32"/>
          <w:lang w:eastAsia="zh-CN"/>
        </w:rPr>
        <w:t>妥善处理</w:t>
      </w:r>
      <w:r>
        <w:rPr>
          <w:rFonts w:hint="eastAsia" w:eastAsia="仿宋_GB2312"/>
          <w:sz w:val="32"/>
          <w:szCs w:val="32"/>
        </w:rPr>
        <w:t>施工</w:t>
      </w:r>
      <w:r>
        <w:rPr>
          <w:rFonts w:hint="eastAsia" w:eastAsia="仿宋_GB2312"/>
          <w:sz w:val="32"/>
          <w:szCs w:val="32"/>
          <w:lang w:eastAsia="zh-CN"/>
        </w:rPr>
        <w:t>产生的施工</w:t>
      </w:r>
      <w:r>
        <w:rPr>
          <w:rFonts w:hint="eastAsia" w:eastAsia="仿宋_GB2312"/>
          <w:sz w:val="32"/>
          <w:szCs w:val="32"/>
        </w:rPr>
        <w:t>废水；</w:t>
      </w:r>
      <w:r>
        <w:rPr>
          <w:rFonts w:hint="default" w:ascii="Times New Roman" w:hAnsi="Times New Roman" w:eastAsia="仿宋_GB2312" w:cs="Times New Roman"/>
          <w:sz w:val="32"/>
          <w:szCs w:val="32"/>
        </w:rPr>
        <w:t>合理安排施工时间和施工区域，加强对高噪声机械的管理。</w:t>
      </w:r>
    </w:p>
    <w:p>
      <w:pPr>
        <w:pStyle w:val="2"/>
        <w:pageBreakBefore w:val="0"/>
        <w:widowControl w:val="0"/>
        <w:kinsoku/>
        <w:wordWrap/>
        <w:overflowPunct/>
        <w:topLinePunct w:val="0"/>
        <w:autoSpaceDE/>
        <w:autoSpaceDN/>
        <w:bidi w:val="0"/>
        <w:snapToGrid/>
        <w:spacing w:line="600" w:lineRule="exact"/>
        <w:rPr>
          <w:rFonts w:hint="default" w:eastAsia="仿宋_GB2312"/>
          <w:lang w:val="en-US" w:eastAsia="zh-CN"/>
        </w:rPr>
      </w:pPr>
      <w:r>
        <w:rPr>
          <w:rFonts w:hint="eastAsia" w:eastAsia="仿宋_GB2312" w:cs="Times New Roman"/>
          <w:sz w:val="32"/>
          <w:szCs w:val="32"/>
          <w:lang w:val="en-US" w:eastAsia="zh-CN"/>
        </w:rPr>
        <w:t xml:space="preserve">    在邻近天津市</w:t>
      </w:r>
      <w:r>
        <w:rPr>
          <w:rFonts w:hint="default" w:ascii="Times New Roman" w:hAnsi="Times New Roman" w:eastAsia="仿宋_GB2312" w:cs="Times New Roman"/>
          <w:sz w:val="32"/>
          <w:szCs w:val="32"/>
          <w:lang w:val="en-US" w:eastAsia="zh-CN"/>
        </w:rPr>
        <w:t>永久性保护生态区域</w:t>
      </w:r>
      <w:r>
        <w:rPr>
          <w:rFonts w:hint="eastAsia" w:eastAsia="仿宋_GB2312" w:cs="Times New Roman"/>
          <w:sz w:val="32"/>
          <w:szCs w:val="32"/>
          <w:lang w:val="en-US" w:eastAsia="zh-CN"/>
        </w:rPr>
        <w:t>施工时，严禁在该</w:t>
      </w:r>
      <w:r>
        <w:rPr>
          <w:rFonts w:hint="default" w:ascii="Times New Roman" w:hAnsi="Times New Roman" w:eastAsia="仿宋_GB2312" w:cs="Times New Roman"/>
          <w:sz w:val="32"/>
          <w:szCs w:val="32"/>
          <w:lang w:val="en-US" w:eastAsia="zh-CN"/>
        </w:rPr>
        <w:t>区域内</w:t>
      </w:r>
      <w:r>
        <w:rPr>
          <w:rFonts w:hint="default" w:ascii="Times New Roman" w:hAnsi="Times New Roman" w:eastAsia="仿宋_GB2312" w:cs="Times New Roman"/>
          <w:sz w:val="32"/>
          <w:szCs w:val="32"/>
          <w:lang w:eastAsia="zh-CN"/>
        </w:rPr>
        <w:t>临时堆土</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严禁</w:t>
      </w:r>
      <w:r>
        <w:rPr>
          <w:rFonts w:hint="default" w:ascii="Times New Roman" w:hAnsi="Times New Roman" w:eastAsia="仿宋_GB2312" w:cs="Times New Roman"/>
          <w:sz w:val="32"/>
          <w:szCs w:val="32"/>
          <w:lang w:eastAsia="zh-CN"/>
        </w:rPr>
        <w:t>设置临时料场</w:t>
      </w:r>
      <w:r>
        <w:rPr>
          <w:rFonts w:hint="default" w:ascii="Times New Roman" w:hAnsi="Times New Roman" w:eastAsia="仿宋_GB2312" w:cs="Times New Roman"/>
          <w:sz w:val="32"/>
          <w:szCs w:val="32"/>
          <w:lang w:val="en-US" w:eastAsia="zh-CN"/>
        </w:rPr>
        <w:t>等</w:t>
      </w:r>
      <w:r>
        <w:rPr>
          <w:rFonts w:hint="eastAsia"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2.认真执行变电站行业设计与建筑技术规范，落实电磁</w:t>
      </w:r>
      <w:r>
        <w:rPr>
          <w:rFonts w:hint="eastAsia" w:eastAsia="仿宋_GB2312" w:cs="Times New Roman"/>
          <w:sz w:val="32"/>
          <w:szCs w:val="32"/>
          <w:lang w:val="en-US" w:eastAsia="zh-CN"/>
        </w:rPr>
        <w:t>影响</w:t>
      </w:r>
      <w:r>
        <w:rPr>
          <w:rFonts w:hint="eastAsia" w:ascii="Times New Roman" w:hAnsi="Times New Roman" w:eastAsia="仿宋_GB2312" w:cs="Times New Roman"/>
          <w:sz w:val="32"/>
          <w:szCs w:val="32"/>
          <w:lang w:val="en-US" w:eastAsia="zh-CN"/>
        </w:rPr>
        <w:t>防护措施，</w:t>
      </w:r>
      <w:r>
        <w:rPr>
          <w:rFonts w:hint="default" w:ascii="Times New Roman" w:hAnsi="Times New Roman" w:eastAsia="仿宋_GB2312" w:cs="Times New Roman"/>
          <w:sz w:val="32"/>
          <w:szCs w:val="32"/>
          <w:lang w:val="en-US" w:eastAsia="zh-CN"/>
        </w:rPr>
        <w:t>确保</w:t>
      </w:r>
      <w:r>
        <w:rPr>
          <w:rFonts w:hint="eastAsia" w:eastAsia="仿宋_GB2312" w:cs="Times New Roman"/>
          <w:sz w:val="32"/>
          <w:szCs w:val="32"/>
          <w:lang w:val="en-US" w:eastAsia="zh-CN"/>
        </w:rPr>
        <w:t>升压</w:t>
      </w:r>
      <w:r>
        <w:rPr>
          <w:rFonts w:hint="eastAsia" w:ascii="Times New Roman" w:hAnsi="Times New Roman" w:eastAsia="仿宋_GB2312" w:cs="Times New Roman"/>
          <w:sz w:val="32"/>
          <w:szCs w:val="32"/>
          <w:lang w:val="en-US" w:eastAsia="zh-CN"/>
        </w:rPr>
        <w:t>站</w:t>
      </w:r>
      <w:r>
        <w:rPr>
          <w:rFonts w:hint="default" w:ascii="Times New Roman" w:hAnsi="Times New Roman" w:eastAsia="仿宋_GB2312" w:cs="Times New Roman"/>
          <w:sz w:val="32"/>
          <w:szCs w:val="32"/>
          <w:lang w:val="en-US" w:eastAsia="zh-CN"/>
        </w:rPr>
        <w:t>的工频电场</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工频磁感应强度符合</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限值要求。</w:t>
      </w:r>
    </w:p>
    <w:p>
      <w:pPr>
        <w:pStyle w:val="2"/>
        <w:pageBreakBefore w:val="0"/>
        <w:widowControl w:val="0"/>
        <w:kinsoku/>
        <w:wordWrap/>
        <w:overflowPunct/>
        <w:topLinePunct w:val="0"/>
        <w:autoSpaceDE/>
        <w:autoSpaceDN/>
        <w:bidi w:val="0"/>
        <w:snapToGrid/>
        <w:spacing w:line="600" w:lineRule="exact"/>
        <w:ind w:firstLine="640"/>
        <w:rPr>
          <w:rFonts w:hint="default" w:ascii="Times New Roman" w:hAnsi="Times New Roman" w:eastAsia="仿宋_GB2312" w:cs="Times New Roman"/>
          <w:sz w:val="32"/>
          <w:szCs w:val="32"/>
        </w:rPr>
      </w:pPr>
      <w:r>
        <w:rPr>
          <w:rFonts w:hint="eastAsia"/>
          <w:lang w:val="en-US" w:eastAsia="zh-CN"/>
        </w:rPr>
        <w:t>3.</w:t>
      </w:r>
      <w:r>
        <w:rPr>
          <w:rFonts w:hint="default" w:ascii="Times New Roman" w:hAnsi="Times New Roman" w:eastAsia="仿宋_GB2312" w:cs="Times New Roman"/>
          <w:sz w:val="32"/>
          <w:szCs w:val="32"/>
        </w:rPr>
        <w:t>选用低噪声设备，采取隔声降噪措施，确保</w:t>
      </w:r>
      <w:r>
        <w:rPr>
          <w:rFonts w:hint="eastAsia" w:eastAsia="仿宋_GB2312" w:cs="Times New Roman"/>
          <w:sz w:val="32"/>
          <w:szCs w:val="32"/>
          <w:lang w:eastAsia="zh-CN"/>
        </w:rPr>
        <w:t>升压</w:t>
      </w:r>
      <w:r>
        <w:rPr>
          <w:rFonts w:hint="default" w:ascii="Times New Roman" w:hAnsi="Times New Roman" w:eastAsia="仿宋_GB2312" w:cs="Times New Roman"/>
          <w:sz w:val="32"/>
          <w:szCs w:val="32"/>
        </w:rPr>
        <w:t>站厂界噪声</w:t>
      </w:r>
      <w:r>
        <w:rPr>
          <w:rFonts w:hint="eastAsia" w:ascii="Times New Roman" w:hAnsi="Times New Roman" w:eastAsia="仿宋_GB2312" w:cs="Times New Roman"/>
          <w:sz w:val="32"/>
          <w:szCs w:val="32"/>
          <w:lang w:eastAsia="zh-CN"/>
        </w:rPr>
        <w:t>排放达标</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snapToGrid/>
        <w:spacing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废蓄电池</w:t>
      </w:r>
      <w:r>
        <w:rPr>
          <w:rFonts w:hint="eastAsia" w:eastAsia="仿宋_GB2312" w:cs="Times New Roman"/>
          <w:sz w:val="32"/>
          <w:szCs w:val="32"/>
          <w:lang w:val="en-US" w:eastAsia="zh-CN"/>
        </w:rPr>
        <w:t>和废变压器油</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危险废物，应交由有资质的单位处置</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废光伏组件由厂家定期回收</w:t>
      </w:r>
      <w:r>
        <w:rPr>
          <w:rFonts w:hint="default" w:ascii="Times New Roman" w:hAnsi="Times New Roman" w:eastAsia="仿宋_GB2312" w:cs="Times New Roman"/>
          <w:sz w:val="32"/>
          <w:szCs w:val="32"/>
          <w:lang w:val="en-US" w:eastAsia="zh-CN"/>
        </w:rPr>
        <w:t>。</w:t>
      </w:r>
    </w:p>
    <w:p>
      <w:pPr>
        <w:pageBreakBefore w:val="0"/>
        <w:widowControl w:val="0"/>
        <w:kinsoku/>
        <w:wordWrap/>
        <w:overflowPunct/>
        <w:topLinePunct w:val="0"/>
        <w:autoSpaceDE/>
        <w:autoSpaceDN/>
        <w:bidi w:val="0"/>
        <w:snapToGrid/>
        <w:spacing w:line="600" w:lineRule="exact"/>
        <w:ind w:firstLine="640"/>
        <w:rPr>
          <w:rFonts w:hint="eastAsia" w:eastAsia="宋体"/>
          <w:lang w:val="en-US" w:eastAsia="zh-CN"/>
        </w:rPr>
      </w:pP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突发环境事件应急</w:t>
      </w:r>
      <w:r>
        <w:rPr>
          <w:rFonts w:hint="eastAsia" w:ascii="Times New Roman" w:hAnsi="Times New Roman" w:eastAsia="仿宋_GB2312" w:cs="Times New Roman"/>
          <w:sz w:val="32"/>
          <w:szCs w:val="32"/>
          <w:lang w:val="en-US" w:eastAsia="zh-CN"/>
        </w:rPr>
        <w:t>处置措施</w:t>
      </w:r>
      <w:r>
        <w:rPr>
          <w:rFonts w:hint="default" w:ascii="Times New Roman" w:hAnsi="Times New Roman" w:eastAsia="仿宋_GB2312" w:cs="Times New Roman"/>
          <w:sz w:val="32"/>
          <w:szCs w:val="32"/>
          <w:lang w:val="en-US" w:eastAsia="zh-CN"/>
        </w:rPr>
        <w:t>，事故储油池</w:t>
      </w:r>
      <w:r>
        <w:rPr>
          <w:rFonts w:hint="eastAsia" w:eastAsia="仿宋_GB2312" w:cs="Times New Roman"/>
          <w:sz w:val="32"/>
          <w:szCs w:val="32"/>
          <w:lang w:val="en-US" w:eastAsia="zh-CN"/>
        </w:rPr>
        <w:t>应</w:t>
      </w:r>
      <w:r>
        <w:rPr>
          <w:rFonts w:hint="eastAsia" w:ascii="Times New Roman" w:hAnsi="Times New Roman" w:eastAsia="仿宋_GB2312" w:cs="Times New Roman"/>
          <w:sz w:val="32"/>
          <w:szCs w:val="32"/>
          <w:lang w:val="en-US" w:eastAsia="zh-CN"/>
        </w:rPr>
        <w:t>有防渗措施</w:t>
      </w:r>
      <w:r>
        <w:rPr>
          <w:rFonts w:hint="default" w:ascii="Times New Roman" w:hAnsi="Times New Roman" w:eastAsia="仿宋_GB2312" w:cs="Times New Roman"/>
          <w:sz w:val="32"/>
          <w:szCs w:val="32"/>
          <w:lang w:val="en-US" w:eastAsia="zh-CN"/>
        </w:rPr>
        <w:t>，池容量应满足收纳变压器的事故漏油量。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三、该项目无新增污染物排放总量。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四、项目建设应严格执行环境保护设施与主体工程同时设计、同时施工、同时投产使用的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三同时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管理制度</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项目竣工后</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你公司应按规定的标准和程序开展环境保护验收，经验收合格后方可正式投入运营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若项目的性质、规模、地点、生产工艺或防治污染的措施发生重大变动，要重新报批环境影响评价文件。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五</w:t>
      </w:r>
      <w:r>
        <w:rPr>
          <w:rFonts w:hint="default" w:ascii="Times New Roman" w:hAnsi="Times New Roman" w:eastAsia="仿宋_GB2312" w:cs="Times New Roman"/>
          <w:sz w:val="32"/>
          <w:szCs w:val="32"/>
        </w:rPr>
        <w:t>、项目应执行以下标准：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《环境空气质量标准》（GB3095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2012）二级</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《声环境质量标准》（GB3096-2008）</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类</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《工业企业厂界环境噪声排放标准》（GB12348-2008）</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类</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s="Times New Roman"/>
          <w:sz w:val="32"/>
          <w:szCs w:val="32"/>
          <w:lang w:eastAsia="zh-CN"/>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《电磁环境控制限值》（GB8702-2014）</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s="Times New Roman"/>
          <w:color w:val="auto"/>
          <w:sz w:val="32"/>
          <w:szCs w:val="32"/>
          <w:lang w:val="en-US" w:eastAsia="zh-CN"/>
        </w:rPr>
      </w:pPr>
      <w:r>
        <w:rPr>
          <w:rFonts w:hint="eastAsia" w:eastAsia="仿宋_GB2312" w:cs="Times New Roman"/>
          <w:sz w:val="32"/>
          <w:szCs w:val="32"/>
          <w:lang w:val="en-US" w:eastAsia="zh-CN"/>
        </w:rPr>
        <w:t>5.</w:t>
      </w:r>
      <w:r>
        <w:rPr>
          <w:rFonts w:hint="eastAsia" w:eastAsia="仿宋_GB2312" w:cs="Times New Roman"/>
          <w:color w:val="auto"/>
          <w:sz w:val="32"/>
          <w:szCs w:val="32"/>
          <w:lang w:val="en-US" w:eastAsia="zh-CN"/>
        </w:rPr>
        <w:t>《危险废物贮存污染控制标准》（GB18597-2001）；</w:t>
      </w:r>
    </w:p>
    <w:p>
      <w:pPr>
        <w:pStyle w:val="7"/>
        <w:pageBreakBefore w:val="0"/>
        <w:widowControl w:val="0"/>
        <w:kinsoku/>
        <w:wordWrap/>
        <w:overflowPunct/>
        <w:topLinePunct w:val="0"/>
        <w:autoSpaceDE/>
        <w:autoSpaceDN/>
        <w:bidi w:val="0"/>
        <w:snapToGrid/>
        <w:spacing w:line="600" w:lineRule="exact"/>
        <w:ind w:firstLine="662" w:firstLineChars="207"/>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6.《危险废物收集贮存运输技术规范》（HJ2025-2012）；</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sz w:val="32"/>
          <w:szCs w:val="32"/>
          <w:lang w:eastAsia="zh-CN"/>
        </w:rPr>
      </w:pPr>
      <w:r>
        <w:rPr>
          <w:rFonts w:hint="eastAsia" w:eastAsia="仿宋_GB2312" w:cs="Times New Roman"/>
          <w:color w:val="auto"/>
          <w:sz w:val="32"/>
          <w:szCs w:val="32"/>
          <w:lang w:val="en-US" w:eastAsia="zh-CN"/>
        </w:rPr>
        <w:t>7.《一般工业固体废物贮存和填埋污染控制标准》（</w:t>
      </w:r>
      <w:r>
        <w:rPr>
          <w:rFonts w:hint="default" w:eastAsia="仿宋_GB2312" w:cs="Times New Roman"/>
          <w:color w:val="auto"/>
          <w:sz w:val="32"/>
          <w:szCs w:val="32"/>
          <w:lang w:val="en-US" w:eastAsia="zh-CN"/>
        </w:rPr>
        <w:t>GB 18599-2020</w:t>
      </w:r>
      <w:r>
        <w:rPr>
          <w:rFonts w:hint="eastAsia" w:eastAsia="仿宋_GB2312" w:cs="Times New Roman"/>
          <w:color w:val="auto"/>
          <w:sz w:val="32"/>
          <w:szCs w:val="32"/>
          <w:lang w:val="en-US" w:eastAsia="zh-CN"/>
        </w:rPr>
        <w:t>）</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baseline"/>
        <w:outlineLvl w:val="9"/>
        <w:rPr>
          <w:rFonts w:hint="eastAsia" w:eastAsia="仿宋_GB2312" w:cs="Times New Roman"/>
          <w:sz w:val="32"/>
          <w:szCs w:val="32"/>
          <w:lang w:val="en-US" w:eastAsia="zh-CN"/>
        </w:rPr>
      </w:pPr>
      <w:r>
        <w:rPr>
          <w:rFonts w:hint="eastAsia" w:eastAsia="仿宋_GB2312"/>
          <w:sz w:val="32"/>
          <w:szCs w:val="32"/>
          <w:lang w:val="en-US" w:eastAsia="zh-CN"/>
        </w:rPr>
        <w:t>8</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《建筑施工场界环境噪声排放标准》（GB12523-2011）</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此复</w:t>
      </w:r>
      <w:r>
        <w:rPr>
          <w:rFonts w:hint="eastAsia" w:eastAsia="仿宋_GB2312" w:cs="Times New Roman"/>
          <w:sz w:val="32"/>
          <w:szCs w:val="32"/>
          <w:lang w:eastAsia="zh-CN"/>
        </w:rPr>
        <w:t>。</w:t>
      </w:r>
    </w:p>
    <w:p>
      <w:pPr>
        <w:rPr>
          <w:rFonts w:hint="default"/>
        </w:rPr>
      </w:pPr>
    </w:p>
    <w:p>
      <w:pPr>
        <w:rPr>
          <w:rFonts w:hint="default"/>
        </w:rPr>
      </w:pPr>
    </w:p>
    <w:p>
      <w:pPr>
        <w:wordWrap w:val="0"/>
        <w:ind w:firstLine="3200" w:firstLineChars="1000"/>
        <w:jc w:val="right"/>
        <w:rPr>
          <w:rFonts w:hint="eastAsia" w:eastAsia="仿宋_GB2312"/>
          <w:sz w:val="32"/>
          <w:lang w:val="en-US" w:eastAsia="zh-CN"/>
        </w:rPr>
      </w:pPr>
      <w:r>
        <w:rPr>
          <w:rFonts w:hint="eastAsia" w:eastAsia="仿宋_GB2312"/>
          <w:sz w:val="32"/>
        </w:rPr>
        <w:t xml:space="preserve">              </w:t>
      </w:r>
      <w:r>
        <w:rPr>
          <w:rFonts w:hint="eastAsia" w:eastAsia="仿宋_GB2312"/>
          <w:sz w:val="32"/>
          <w:lang w:val="en-US" w:eastAsia="zh-CN"/>
        </w:rPr>
        <w:t xml:space="preserve">2022年11月21日   </w:t>
      </w:r>
    </w:p>
    <w:p>
      <w:pPr>
        <w:spacing w:line="680" w:lineRule="exact"/>
        <w:rPr>
          <w:rFonts w:hint="eastAsia" w:eastAsia="仿宋_GB2312"/>
          <w:sz w:val="28"/>
          <w:szCs w:val="28"/>
        </w:rPr>
      </w:pPr>
      <w:r>
        <w:rPr>
          <w:rFonts w:eastAsia="仿宋_GB2312"/>
          <w:sz w:val="28"/>
          <w:szCs w:val="28"/>
        </w:rPr>
        <w:t>主题词：环境影响 报告</w:t>
      </w:r>
      <w:r>
        <w:rPr>
          <w:rFonts w:hint="eastAsia" w:eastAsia="仿宋_GB2312"/>
          <w:sz w:val="28"/>
          <w:szCs w:val="28"/>
          <w:lang w:eastAsia="zh-CN"/>
        </w:rPr>
        <w:t>表</w:t>
      </w:r>
      <w:r>
        <w:rPr>
          <w:rFonts w:eastAsia="仿宋_GB2312"/>
          <w:sz w:val="28"/>
          <w:szCs w:val="28"/>
        </w:rPr>
        <w:t xml:space="preserve"> 批复        </w:t>
      </w:r>
      <w:r>
        <w:rPr>
          <w:rFonts w:hint="eastAsia" w:eastAsia="仿宋_GB2312"/>
          <w:sz w:val="28"/>
          <w:szCs w:val="28"/>
        </w:rPr>
        <w:t xml:space="preserve">           </w:t>
      </w:r>
      <w:r>
        <w:rPr>
          <w:rFonts w:hint="eastAsia" w:eastAsia="仿宋_GB2312"/>
          <w:sz w:val="28"/>
          <w:szCs w:val="28"/>
          <w:lang w:val="en-US" w:eastAsia="zh-CN"/>
        </w:rPr>
        <w:t xml:space="preserve">  </w:t>
      </w:r>
      <w:r>
        <w:rPr>
          <w:rFonts w:hint="eastAsia" w:eastAsia="仿宋_GB2312"/>
          <w:sz w:val="28"/>
          <w:szCs w:val="28"/>
        </w:rPr>
        <w:t xml:space="preserve">  （</w:t>
      </w:r>
      <w:r>
        <w:rPr>
          <w:rFonts w:eastAsia="仿宋_GB2312"/>
          <w:sz w:val="28"/>
          <w:szCs w:val="28"/>
        </w:rPr>
        <w:t>共印4份）</w:t>
      </w:r>
    </w:p>
    <w:tbl>
      <w:tblPr>
        <w:tblStyle w:val="4"/>
        <w:tblW w:w="9054" w:type="dxa"/>
        <w:tblInd w:w="0" w:type="dxa"/>
        <w:tblBorders>
          <w:top w:val="none" w:color="auto" w:sz="0"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9054"/>
      </w:tblGrid>
      <w:tr>
        <w:tblPrEx>
          <w:tblBorders>
            <w:top w:val="none" w:color="auto" w:sz="0" w:space="0"/>
            <w:left w:val="none" w:color="auto" w:sz="0" w:space="0"/>
            <w:bottom w:val="none" w:color="auto" w:sz="0"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567" w:hRule="atLeast"/>
        </w:trPr>
        <w:tc>
          <w:tcPr>
            <w:tcW w:w="9054" w:type="dxa"/>
            <w:tcBorders>
              <w:top w:val="single" w:color="auto" w:sz="8" w:space="0"/>
              <w:bottom w:val="single" w:color="auto" w:sz="8" w:space="0"/>
            </w:tcBorders>
            <w:vAlign w:val="top"/>
          </w:tcPr>
          <w:p>
            <w:pPr>
              <w:spacing w:line="680" w:lineRule="exact"/>
              <w:ind w:right="160"/>
              <w:rPr>
                <w:sz w:val="32"/>
              </w:rPr>
            </w:pPr>
            <w:r>
              <w:rPr>
                <w:rFonts w:eastAsia="仿宋_GB2312"/>
                <w:sz w:val="28"/>
                <w:szCs w:val="28"/>
              </w:rPr>
              <w:t>抄</w:t>
            </w:r>
            <w:r>
              <w:rPr>
                <w:rFonts w:hint="eastAsia" w:eastAsia="仿宋_GB2312"/>
                <w:sz w:val="28"/>
                <w:szCs w:val="28"/>
                <w:lang w:val="en-US" w:eastAsia="zh-CN"/>
              </w:rPr>
              <w:t xml:space="preserve">  </w:t>
            </w:r>
            <w:r>
              <w:rPr>
                <w:rFonts w:eastAsia="仿宋_GB2312"/>
                <w:sz w:val="28"/>
                <w:szCs w:val="28"/>
              </w:rPr>
              <w:t>送：天津市滨海新区生态环境局</w:t>
            </w:r>
          </w:p>
        </w:tc>
      </w:tr>
    </w:tbl>
    <w:p>
      <w:r>
        <w:rPr>
          <w:rFonts w:hint="eastAsia" w:eastAsia="仿宋_GB2312"/>
          <w:sz w:val="28"/>
          <w:szCs w:val="28"/>
        </w:rPr>
        <w:t xml:space="preserve">天津市滨海新区行政审批局             </w:t>
      </w:r>
      <w:r>
        <w:rPr>
          <w:rFonts w:hint="eastAsia" w:eastAsia="仿宋_GB2312"/>
          <w:sz w:val="28"/>
          <w:szCs w:val="28"/>
          <w:lang w:val="en-US" w:eastAsia="zh-CN"/>
        </w:rPr>
        <w:t xml:space="preserve">     2022年11月21日</w:t>
      </w:r>
      <w:r>
        <w:rPr>
          <w:rFonts w:eastAsia="仿宋_GB2312"/>
          <w:sz w:val="28"/>
          <w:szCs w:val="28"/>
        </w:rPr>
        <w:t>印发</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25A3D4-BC0E-4F75-B2A5-CB82258A51B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CCFD7980-52A7-45B0-A854-5C6C805533B7}"/>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299E1A48-EB2B-48F9-911E-64374B45C5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zczYjBjMmJhNGRiMmFkNjFhZDFhZGQxZTEzNzQifQ=="/>
  </w:docVars>
  <w:rsids>
    <w:rsidRoot w:val="5B2804B1"/>
    <w:rsid w:val="03E52081"/>
    <w:rsid w:val="09F77C14"/>
    <w:rsid w:val="0CF44850"/>
    <w:rsid w:val="203037AF"/>
    <w:rsid w:val="255B533F"/>
    <w:rsid w:val="2F477370"/>
    <w:rsid w:val="36D26DF4"/>
    <w:rsid w:val="430E5D88"/>
    <w:rsid w:val="4A4B41A6"/>
    <w:rsid w:val="5B2804B1"/>
    <w:rsid w:val="69AD35D6"/>
    <w:rsid w:val="6D4D4658"/>
    <w:rsid w:val="761A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kern w:val="44"/>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中文报告书样式"/>
    <w:basedOn w:val="1"/>
    <w:qFormat/>
    <w:uiPriority w:val="0"/>
    <w:pPr>
      <w:adjustRightInd w:val="0"/>
      <w:spacing w:line="420" w:lineRule="atLeast"/>
      <w:jc w:val="left"/>
      <w:textAlignment w:val="baseline"/>
    </w:pPr>
    <w:rPr>
      <w:kern w:val="24"/>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1230</Words>
  <Characters>1386</Characters>
  <Lines>0</Lines>
  <Paragraphs>0</Paragraphs>
  <TotalTime>20</TotalTime>
  <ScaleCrop>false</ScaleCrop>
  <LinksUpToDate>false</LinksUpToDate>
  <CharactersWithSpaces>1453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2021-08-24T05:47:00Z</dcterms:created>
  <dc:creator>审批二室</dc:creator>
  <cp:lastModifiedBy>北大港湿地环保卫士</cp:lastModifiedBy>
  <dcterms:modified xsi:type="dcterms:W3CDTF">2022-12-02T02:03:13Z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B531134F9233490F9B168E6275546F11</vt:lpwstr>
  </property>
</Properties>
</file>