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pPr>
    </w:p>
    <w:p>
      <w:pPr>
        <w:spacing w:line="360" w:lineRule="auto"/>
      </w:pPr>
    </w:p>
    <w:p/>
    <w:p>
      <w:pPr>
        <w:spacing w:line="360" w:lineRule="auto"/>
        <w:jc w:val="center"/>
        <w:rPr>
          <w:rFonts w:ascii="仿宋_GB2312"/>
        </w:rPr>
      </w:pPr>
    </w:p>
    <w:p>
      <w:pPr>
        <w:autoSpaceDE w:val="0"/>
        <w:autoSpaceDN w:val="0"/>
        <w:jc w:val="center"/>
        <w:rPr>
          <w:rFonts w:ascii="Times New Roman" w:hAnsi="Times New Roman"/>
        </w:rPr>
      </w:pPr>
      <w:r>
        <w:rPr>
          <w:rFonts w:hint="eastAsia" w:ascii="Times New Roman" w:hAnsi="Times New Roman"/>
          <w:lang w:val="zh-CN"/>
        </w:rPr>
        <w:t xml:space="preserve">津滨审批二室准〔2022〕186号 </w:t>
      </w:r>
      <w:bookmarkStart w:id="0" w:name="_GoBack"/>
      <w:bookmarkEnd w:id="0"/>
    </w:p>
    <w:p>
      <w:pPr>
        <w:spacing w:line="600" w:lineRule="exact"/>
        <w:jc w:val="center"/>
        <w:rPr>
          <w:b/>
          <w:color w:val="000000"/>
          <w:sz w:val="44"/>
        </w:rPr>
      </w:pPr>
      <w:r>
        <w:rPr>
          <w:rFonts w:hint="eastAsia"/>
          <w:lang w:val="zh-CN"/>
        </w:rPr>
        <w:t>（项目代码：</w:t>
      </w:r>
      <w:r>
        <w:rPr>
          <w:lang w:val="zh-CN"/>
        </w:rPr>
        <w:t>2207-120116-89-02-924635</w:t>
      </w:r>
      <w:r>
        <w:rPr>
          <w:rFonts w:hint="eastAsia"/>
          <w:lang w:val="zh-CN"/>
        </w:rPr>
        <w:t>）</w:t>
      </w:r>
    </w:p>
    <w:p>
      <w:pPr>
        <w:spacing w:line="400" w:lineRule="exact"/>
        <w:jc w:val="center"/>
        <w:rPr>
          <w:b/>
          <w:color w:val="000000"/>
        </w:rPr>
      </w:pPr>
    </w:p>
    <w:p>
      <w:pPr>
        <w:pStyle w:val="8"/>
        <w:spacing w:line="600" w:lineRule="exact"/>
        <w:jc w:val="center"/>
        <w:rPr>
          <w:rFonts w:eastAsia="方正小标宋简体"/>
          <w:color w:val="000000"/>
          <w:sz w:val="44"/>
        </w:rPr>
      </w:pPr>
      <w:r>
        <w:rPr>
          <w:rFonts w:hint="eastAsia" w:eastAsia="方正小标宋简体"/>
          <w:color w:val="000000"/>
          <w:sz w:val="44"/>
        </w:rPr>
        <w:t>关于恩彻尔（天津）环保科技有限公司技改项目</w:t>
      </w:r>
      <w:r>
        <w:rPr>
          <w:rFonts w:eastAsia="方正小标宋简体"/>
          <w:color w:val="000000"/>
          <w:sz w:val="44"/>
        </w:rPr>
        <w:t>环境影响报告书的批复</w:t>
      </w:r>
    </w:p>
    <w:p>
      <w:pPr>
        <w:spacing w:line="520" w:lineRule="exact"/>
        <w:jc w:val="center"/>
        <w:rPr>
          <w:b/>
          <w:color w:val="000000"/>
          <w:sz w:val="44"/>
        </w:rPr>
      </w:pPr>
    </w:p>
    <w:p>
      <w:pPr>
        <w:pStyle w:val="8"/>
        <w:spacing w:line="700" w:lineRule="exact"/>
        <w:rPr>
          <w:sz w:val="32"/>
          <w:szCs w:val="32"/>
        </w:rPr>
      </w:pPr>
      <w:r>
        <w:rPr>
          <w:bCs/>
          <w:sz w:val="32"/>
          <w:szCs w:val="32"/>
        </w:rPr>
        <w:t>恩彻尔（天津）环保科技有限公司</w:t>
      </w:r>
      <w:r>
        <w:rPr>
          <w:sz w:val="32"/>
          <w:szCs w:val="32"/>
        </w:rPr>
        <w:t>：</w:t>
      </w:r>
    </w:p>
    <w:p>
      <w:pPr>
        <w:pStyle w:val="8"/>
        <w:spacing w:line="700" w:lineRule="exact"/>
        <w:ind w:firstLine="662" w:firstLineChars="207"/>
        <w:rPr>
          <w:sz w:val="32"/>
          <w:szCs w:val="32"/>
        </w:rPr>
      </w:pPr>
      <w:r>
        <w:rPr>
          <w:sz w:val="32"/>
          <w:szCs w:val="32"/>
        </w:rPr>
        <w:t>你</w:t>
      </w:r>
      <w:r>
        <w:rPr>
          <w:rFonts w:hint="eastAsia"/>
          <w:sz w:val="32"/>
          <w:szCs w:val="32"/>
        </w:rPr>
        <w:t>单位《恩彻尔（天津）环保科技有限公司技改项目</w:t>
      </w:r>
      <w:r>
        <w:rPr>
          <w:sz w:val="32"/>
          <w:szCs w:val="32"/>
        </w:rPr>
        <w:t>环境影响报告</w:t>
      </w:r>
      <w:r>
        <w:rPr>
          <w:rFonts w:hint="eastAsia"/>
          <w:sz w:val="32"/>
          <w:szCs w:val="32"/>
        </w:rPr>
        <w:t>书的申请》、天津潮生环保科技有限公司编制的</w:t>
      </w:r>
      <w:r>
        <w:rPr>
          <w:sz w:val="32"/>
          <w:szCs w:val="32"/>
        </w:rPr>
        <w:t>《</w:t>
      </w:r>
      <w:r>
        <w:rPr>
          <w:rFonts w:hint="eastAsia"/>
          <w:sz w:val="32"/>
          <w:szCs w:val="32"/>
        </w:rPr>
        <w:t>恩彻尔（天津）环保科技有限公司技改项目</w:t>
      </w:r>
      <w:r>
        <w:rPr>
          <w:sz w:val="32"/>
          <w:szCs w:val="32"/>
        </w:rPr>
        <w:t>环境影响报告</w:t>
      </w:r>
      <w:r>
        <w:rPr>
          <w:rFonts w:hint="eastAsia"/>
          <w:sz w:val="32"/>
          <w:szCs w:val="32"/>
        </w:rPr>
        <w:t>书</w:t>
      </w:r>
      <w:r>
        <w:rPr>
          <w:sz w:val="32"/>
          <w:szCs w:val="32"/>
        </w:rPr>
        <w:t>》</w:t>
      </w:r>
      <w:r>
        <w:rPr>
          <w:rFonts w:hint="eastAsia"/>
          <w:sz w:val="32"/>
          <w:szCs w:val="32"/>
        </w:rPr>
        <w:t>、天津环科环境咨询有限公司出具的《关于恩彻尔（天津）环保科技有限公司技改项目环境影响报告书的技术评估报告》（</w:t>
      </w:r>
      <w:r>
        <w:rPr>
          <w:sz w:val="32"/>
          <w:szCs w:val="32"/>
        </w:rPr>
        <w:t>新区评估书</w:t>
      </w:r>
      <w:r>
        <w:rPr>
          <w:rFonts w:hint="eastAsia"/>
          <w:sz w:val="32"/>
          <w:szCs w:val="32"/>
        </w:rPr>
        <w:t>〔2022〕4号）等材料</w:t>
      </w:r>
      <w:r>
        <w:rPr>
          <w:sz w:val="32"/>
          <w:szCs w:val="32"/>
        </w:rPr>
        <w:t>收悉。经研究，现批复如下：</w:t>
      </w:r>
    </w:p>
    <w:p>
      <w:pPr>
        <w:pStyle w:val="8"/>
        <w:spacing w:line="700" w:lineRule="exact"/>
        <w:ind w:firstLine="640" w:firstLineChars="200"/>
        <w:rPr>
          <w:bCs/>
          <w:sz w:val="32"/>
          <w:szCs w:val="32"/>
        </w:rPr>
      </w:pPr>
      <w:r>
        <w:rPr>
          <w:bCs/>
          <w:sz w:val="32"/>
          <w:szCs w:val="32"/>
        </w:rPr>
        <w:t>一、</w:t>
      </w:r>
      <w:r>
        <w:rPr>
          <w:rFonts w:hint="eastAsia"/>
          <w:bCs/>
          <w:sz w:val="32"/>
          <w:szCs w:val="32"/>
        </w:rPr>
        <w:t>你单位</w:t>
      </w:r>
      <w:r>
        <w:rPr>
          <w:bCs/>
          <w:sz w:val="32"/>
          <w:szCs w:val="32"/>
        </w:rPr>
        <w:t>拟投资500万元人民币在位于天津市滨海新区古林工业园区海顺道120号</w:t>
      </w:r>
      <w:r>
        <w:rPr>
          <w:rFonts w:hint="eastAsia"/>
          <w:bCs/>
          <w:sz w:val="32"/>
          <w:szCs w:val="32"/>
        </w:rPr>
        <w:t>的</w:t>
      </w:r>
      <w:r>
        <w:rPr>
          <w:bCs/>
          <w:sz w:val="32"/>
          <w:szCs w:val="32"/>
        </w:rPr>
        <w:t>现有生产厂房西</w:t>
      </w:r>
      <w:r>
        <w:rPr>
          <w:rFonts w:hint="eastAsia"/>
          <w:bCs/>
          <w:sz w:val="32"/>
          <w:szCs w:val="32"/>
        </w:rPr>
        <w:t>侧</w:t>
      </w:r>
      <w:r>
        <w:rPr>
          <w:bCs/>
          <w:sz w:val="32"/>
          <w:szCs w:val="32"/>
        </w:rPr>
        <w:t>闲置区域新增部分生产设备，同时利用现有部分闲置设备设施扩建一条金属资源化生产线，主要包括浆化、湿式球磨、酸浸出、置换海绵铜、除杂、沉镍、物化处理、蒸发系统处理、污泥干化处理等工序，设计年处理规模4000吨，其中含铜废物（HW50）1120吨，含镍废物2880吨（HW17类1800吨，HW46类、HW49类和HW50类处理规模1080吨）</w:t>
      </w:r>
      <w:r>
        <w:rPr>
          <w:rFonts w:hint="eastAsia"/>
          <w:bCs/>
          <w:sz w:val="32"/>
          <w:szCs w:val="32"/>
        </w:rPr>
        <w:t>；</w:t>
      </w:r>
      <w:r>
        <w:rPr>
          <w:bCs/>
          <w:sz w:val="32"/>
          <w:szCs w:val="32"/>
        </w:rPr>
        <w:t>现有</w:t>
      </w:r>
      <w:r>
        <w:rPr>
          <w:rFonts w:hint="eastAsia"/>
          <w:bCs/>
          <w:sz w:val="32"/>
          <w:szCs w:val="32"/>
        </w:rPr>
        <w:t>直接经污泥干化系统处理的</w:t>
      </w:r>
      <w:r>
        <w:rPr>
          <w:bCs/>
          <w:sz w:val="32"/>
          <w:szCs w:val="32"/>
        </w:rPr>
        <w:t>含金属槽渣和污泥（HW17）的年处理规模由8000吨降至6200吨。该项目建成后设计每年可回收海绵铜350吨、碱式碳酸镍290吨、</w:t>
      </w:r>
      <w:r>
        <w:rPr>
          <w:rFonts w:hint="eastAsia"/>
          <w:bCs/>
          <w:sz w:val="32"/>
          <w:szCs w:val="32"/>
        </w:rPr>
        <w:t>钨（WO3）164.6吨、钼（MoO3）50.4吨、硫酸钠（元明粉）564.36吨</w:t>
      </w:r>
      <w:r>
        <w:rPr>
          <w:bCs/>
          <w:sz w:val="32"/>
          <w:szCs w:val="32"/>
        </w:rPr>
        <w:t>。该项目处理的HW46类、HW49类、HW50类危险废物均为拟新增危险废物经营许可类别，HW17类为</w:t>
      </w:r>
      <w:r>
        <w:rPr>
          <w:rFonts w:hint="eastAsia"/>
          <w:bCs/>
          <w:sz w:val="32"/>
          <w:szCs w:val="32"/>
        </w:rPr>
        <w:t>你单位</w:t>
      </w:r>
      <w:r>
        <w:rPr>
          <w:bCs/>
          <w:sz w:val="32"/>
          <w:szCs w:val="32"/>
        </w:rPr>
        <w:t>已取得危险废物经营许可类别。同时，该项目在辅助用房一层闲置区域</w:t>
      </w:r>
      <w:r>
        <w:rPr>
          <w:rFonts w:hint="eastAsia"/>
          <w:bCs/>
          <w:sz w:val="32"/>
          <w:szCs w:val="32"/>
        </w:rPr>
        <w:t>新</w:t>
      </w:r>
      <w:r>
        <w:rPr>
          <w:bCs/>
          <w:sz w:val="32"/>
          <w:szCs w:val="32"/>
        </w:rPr>
        <w:t>建一座20平方米的化验室</w:t>
      </w:r>
      <w:r>
        <w:rPr>
          <w:rFonts w:hint="eastAsia"/>
          <w:bCs/>
          <w:sz w:val="32"/>
          <w:szCs w:val="32"/>
        </w:rPr>
        <w:t>扩大现有化验室规模</w:t>
      </w:r>
      <w:r>
        <w:rPr>
          <w:bCs/>
          <w:sz w:val="32"/>
          <w:szCs w:val="32"/>
        </w:rPr>
        <w:t>，主要对进厂的危险废物以及工艺系统进料、出料、中间产物的铜、镍、锌、铝、钠、铁、氟</w:t>
      </w:r>
      <w:r>
        <w:rPr>
          <w:rFonts w:hint="eastAsia"/>
          <w:bCs/>
          <w:sz w:val="32"/>
          <w:szCs w:val="32"/>
        </w:rPr>
        <w:t>的含量及</w:t>
      </w:r>
      <w:r>
        <w:rPr>
          <w:bCs/>
          <w:sz w:val="32"/>
          <w:szCs w:val="32"/>
        </w:rPr>
        <w:t>含水率等指标进行检测。该项目属于N7724危险废物治理，其环保投资约47万元人民币，占投资总额的9.4%。该项目计划于2022年10月开工建设，2022年12月投入运营。</w:t>
      </w:r>
    </w:p>
    <w:p>
      <w:pPr>
        <w:pStyle w:val="8"/>
        <w:spacing w:line="700" w:lineRule="exact"/>
        <w:ind w:firstLine="640" w:firstLineChars="200"/>
        <w:rPr>
          <w:bCs/>
          <w:sz w:val="32"/>
          <w:szCs w:val="32"/>
        </w:rPr>
      </w:pPr>
      <w:r>
        <w:rPr>
          <w:bCs/>
          <w:sz w:val="32"/>
          <w:szCs w:val="32"/>
        </w:rPr>
        <w:t>20</w:t>
      </w:r>
      <w:r>
        <w:rPr>
          <w:rFonts w:hint="eastAsia"/>
          <w:bCs/>
          <w:sz w:val="32"/>
          <w:szCs w:val="32"/>
        </w:rPr>
        <w:t>22</w:t>
      </w:r>
      <w:r>
        <w:rPr>
          <w:bCs/>
          <w:sz w:val="32"/>
          <w:szCs w:val="32"/>
        </w:rPr>
        <w:t>年</w:t>
      </w:r>
      <w:r>
        <w:rPr>
          <w:rFonts w:hint="eastAsia"/>
          <w:bCs/>
          <w:sz w:val="32"/>
          <w:szCs w:val="32"/>
        </w:rPr>
        <w:t>9</w:t>
      </w:r>
      <w:r>
        <w:rPr>
          <w:bCs/>
          <w:sz w:val="32"/>
          <w:szCs w:val="32"/>
        </w:rPr>
        <w:t>月</w:t>
      </w:r>
      <w:r>
        <w:rPr>
          <w:rFonts w:hint="eastAsia"/>
          <w:bCs/>
          <w:sz w:val="32"/>
          <w:szCs w:val="32"/>
        </w:rPr>
        <w:t>13</w:t>
      </w:r>
      <w:r>
        <w:rPr>
          <w:bCs/>
          <w:sz w:val="32"/>
          <w:szCs w:val="32"/>
        </w:rPr>
        <w:t>日至</w:t>
      </w:r>
      <w:r>
        <w:rPr>
          <w:rFonts w:hint="eastAsia"/>
          <w:bCs/>
          <w:sz w:val="32"/>
          <w:szCs w:val="32"/>
        </w:rPr>
        <w:t>9</w:t>
      </w:r>
      <w:r>
        <w:rPr>
          <w:bCs/>
          <w:sz w:val="32"/>
          <w:szCs w:val="32"/>
        </w:rPr>
        <w:t>月</w:t>
      </w:r>
      <w:r>
        <w:rPr>
          <w:rFonts w:hint="eastAsia"/>
          <w:bCs/>
          <w:sz w:val="32"/>
          <w:szCs w:val="32"/>
        </w:rPr>
        <w:t>26</w:t>
      </w:r>
      <w:r>
        <w:rPr>
          <w:bCs/>
          <w:sz w:val="32"/>
          <w:szCs w:val="32"/>
        </w:rPr>
        <w:t>日，我局将该项目受理情况进行公示；</w:t>
      </w:r>
      <w:r>
        <w:rPr>
          <w:rFonts w:hint="eastAsia"/>
          <w:bCs/>
          <w:sz w:val="32"/>
          <w:szCs w:val="32"/>
        </w:rPr>
        <w:t>10</w:t>
      </w:r>
      <w:r>
        <w:rPr>
          <w:bCs/>
          <w:sz w:val="32"/>
          <w:szCs w:val="32"/>
        </w:rPr>
        <w:t>月</w:t>
      </w:r>
      <w:r>
        <w:rPr>
          <w:rFonts w:hint="eastAsia"/>
          <w:bCs/>
          <w:sz w:val="32"/>
          <w:szCs w:val="32"/>
        </w:rPr>
        <w:t>17日至10月21日</w:t>
      </w:r>
      <w:r>
        <w:rPr>
          <w:bCs/>
          <w:sz w:val="32"/>
          <w:szCs w:val="32"/>
        </w:rPr>
        <w:t>，将该项目拟批复情况进行公示；根据公众反馈意见情况</w:t>
      </w:r>
      <w:r>
        <w:rPr>
          <w:rFonts w:hint="eastAsia"/>
          <w:bCs/>
          <w:sz w:val="32"/>
          <w:szCs w:val="32"/>
        </w:rPr>
        <w:t>、</w:t>
      </w:r>
      <w:r>
        <w:rPr>
          <w:bCs/>
          <w:sz w:val="32"/>
          <w:szCs w:val="32"/>
        </w:rPr>
        <w:t>环评报告结论</w:t>
      </w:r>
      <w:r>
        <w:rPr>
          <w:rFonts w:hint="eastAsia"/>
          <w:bCs/>
          <w:sz w:val="32"/>
          <w:szCs w:val="32"/>
        </w:rPr>
        <w:t>及其专家评审意见</w:t>
      </w:r>
      <w:r>
        <w:rPr>
          <w:bCs/>
          <w:sz w:val="32"/>
          <w:szCs w:val="32"/>
        </w:rPr>
        <w:t>，在严格落实环评报告所提出的各项污染防治措施、确保各类污染物稳定达标的前提下，同意该项目建设。</w:t>
      </w:r>
    </w:p>
    <w:p>
      <w:pPr>
        <w:pStyle w:val="8"/>
        <w:spacing w:line="700" w:lineRule="exact"/>
        <w:ind w:firstLine="640" w:firstLineChars="200"/>
        <w:rPr>
          <w:bCs/>
          <w:sz w:val="32"/>
          <w:szCs w:val="32"/>
        </w:rPr>
      </w:pPr>
      <w:r>
        <w:rPr>
          <w:bCs/>
          <w:sz w:val="32"/>
          <w:szCs w:val="32"/>
        </w:rPr>
        <w:t>二、项目建设期间，你单位应重点做好以下工作：</w:t>
      </w:r>
    </w:p>
    <w:p>
      <w:pPr>
        <w:pStyle w:val="8"/>
        <w:spacing w:line="700" w:lineRule="exact"/>
        <w:ind w:firstLine="640" w:firstLineChars="200"/>
        <w:rPr>
          <w:bCs/>
          <w:sz w:val="32"/>
          <w:szCs w:val="32"/>
        </w:rPr>
      </w:pPr>
      <w:r>
        <w:rPr>
          <w:bCs/>
          <w:sz w:val="32"/>
          <w:szCs w:val="32"/>
        </w:rPr>
        <w:t>严格贯彻《天津市大气污染物防治条例》、《天津市建设工程文明施工管理规定》、《天津市环境噪声污染防治管理办法》等环保法规，落实对施工扬尘、噪声等的各项污染防治措施；施工场地固体垃圾应及时清运；废水妥善处置。</w:t>
      </w:r>
    </w:p>
    <w:p>
      <w:pPr>
        <w:pStyle w:val="8"/>
        <w:spacing w:line="700" w:lineRule="exact"/>
        <w:ind w:firstLine="640" w:firstLineChars="200"/>
        <w:rPr>
          <w:bCs/>
          <w:sz w:val="32"/>
          <w:szCs w:val="32"/>
        </w:rPr>
      </w:pPr>
      <w:r>
        <w:rPr>
          <w:rFonts w:hint="eastAsia"/>
          <w:bCs/>
          <w:sz w:val="32"/>
          <w:szCs w:val="32"/>
        </w:rPr>
        <w:t>三</w:t>
      </w:r>
      <w:r>
        <w:rPr>
          <w:bCs/>
          <w:sz w:val="32"/>
          <w:szCs w:val="32"/>
        </w:rPr>
        <w:t>、项目</w:t>
      </w:r>
      <w:r>
        <w:rPr>
          <w:rFonts w:hint="eastAsia"/>
          <w:bCs/>
          <w:sz w:val="32"/>
          <w:szCs w:val="32"/>
        </w:rPr>
        <w:t>运营</w:t>
      </w:r>
      <w:r>
        <w:rPr>
          <w:bCs/>
          <w:sz w:val="32"/>
          <w:szCs w:val="32"/>
        </w:rPr>
        <w:t>过程中，你单位应重点做好以下工作：</w:t>
      </w:r>
    </w:p>
    <w:p>
      <w:pPr>
        <w:pStyle w:val="8"/>
        <w:spacing w:line="700" w:lineRule="exact"/>
        <w:ind w:firstLine="640" w:firstLineChars="200"/>
        <w:rPr>
          <w:bCs/>
          <w:sz w:val="32"/>
          <w:szCs w:val="32"/>
        </w:rPr>
      </w:pPr>
      <w:r>
        <w:rPr>
          <w:rFonts w:hint="eastAsia"/>
          <w:bCs/>
          <w:sz w:val="32"/>
          <w:szCs w:val="32"/>
        </w:rPr>
        <w:t>1、</w:t>
      </w:r>
      <w:r>
        <w:rPr>
          <w:bCs/>
          <w:sz w:val="32"/>
          <w:szCs w:val="32"/>
        </w:rPr>
        <w:t>该项目浸出废气和压滤废气（硫酸雾），经收集进入新建一套碱液喷淋装置处理后，进入现有一套“碱液喷淋+干式过滤+UV光催化氧化+活性炭吸附（1#净化装置）”处理，由现有1根18米高排气筒DA001</w:t>
      </w:r>
      <w:r>
        <w:rPr>
          <w:rFonts w:hint="eastAsia"/>
          <w:bCs/>
          <w:sz w:val="32"/>
          <w:szCs w:val="32"/>
        </w:rPr>
        <w:t>达标</w:t>
      </w:r>
      <w:r>
        <w:rPr>
          <w:bCs/>
          <w:sz w:val="32"/>
          <w:szCs w:val="32"/>
        </w:rPr>
        <w:t>排放；化验室废气（硫酸雾、氯化氢），经收集进入现有一套“碱液喷淋+干式过滤+UV光催化氧化+活性炭吸附装置（2#净化装置）”处理，由现有1根18米高排气筒DA002</w:t>
      </w:r>
      <w:r>
        <w:rPr>
          <w:rFonts w:hint="eastAsia"/>
          <w:bCs/>
          <w:sz w:val="32"/>
          <w:szCs w:val="32"/>
        </w:rPr>
        <w:t>达标</w:t>
      </w:r>
      <w:r>
        <w:rPr>
          <w:bCs/>
          <w:sz w:val="32"/>
          <w:szCs w:val="32"/>
        </w:rPr>
        <w:t>排放。</w:t>
      </w:r>
    </w:p>
    <w:p>
      <w:pPr>
        <w:pStyle w:val="8"/>
        <w:spacing w:line="700" w:lineRule="exact"/>
        <w:ind w:firstLine="640" w:firstLineChars="200"/>
        <w:rPr>
          <w:bCs/>
          <w:sz w:val="32"/>
          <w:szCs w:val="32"/>
        </w:rPr>
      </w:pPr>
      <w:r>
        <w:rPr>
          <w:bCs/>
          <w:sz w:val="32"/>
          <w:szCs w:val="32"/>
        </w:rPr>
        <w:t>2、</w:t>
      </w:r>
      <w:r>
        <w:rPr>
          <w:rFonts w:hint="eastAsia"/>
          <w:bCs/>
          <w:sz w:val="32"/>
          <w:szCs w:val="32"/>
        </w:rPr>
        <w:t xml:space="preserve">该项目无新增废水排放。该项目产生的滤液经蒸发系统处理后的冷凝水全部回用于新建的资源化处理生产线，不外排；该项目新增的污泥干化冷凝水和喷淋塔排水进入现有一套污水处理系统（采用“调节+A2O+MBR”处理工艺）处理，经厂区污水总排口进入市政污水管网，最终排入大港石化产业园区污水处理厂处理；厂房地面冲洗水经收集后，送至现有物化系统进行处理，不排放。  </w:t>
      </w:r>
    </w:p>
    <w:p>
      <w:pPr>
        <w:pStyle w:val="8"/>
        <w:spacing w:line="700" w:lineRule="exact"/>
        <w:ind w:firstLine="640" w:firstLineChars="200"/>
        <w:rPr>
          <w:bCs/>
          <w:sz w:val="32"/>
          <w:szCs w:val="32"/>
        </w:rPr>
      </w:pPr>
      <w:r>
        <w:rPr>
          <w:bCs/>
          <w:sz w:val="32"/>
          <w:szCs w:val="32"/>
        </w:rPr>
        <w:t>3、</w:t>
      </w:r>
      <w:r>
        <w:rPr>
          <w:rFonts w:hint="eastAsia"/>
          <w:bCs/>
          <w:sz w:val="32"/>
          <w:szCs w:val="32"/>
        </w:rPr>
        <w:t>合理布局，选用低噪声设备，</w:t>
      </w:r>
      <w:r>
        <w:rPr>
          <w:bCs/>
          <w:sz w:val="32"/>
          <w:szCs w:val="32"/>
        </w:rPr>
        <w:t>对产噪设备实施减振</w:t>
      </w:r>
      <w:r>
        <w:rPr>
          <w:rFonts w:hint="eastAsia"/>
          <w:bCs/>
          <w:sz w:val="32"/>
          <w:szCs w:val="32"/>
        </w:rPr>
        <w:t>、消声、</w:t>
      </w:r>
      <w:r>
        <w:rPr>
          <w:bCs/>
          <w:sz w:val="32"/>
          <w:szCs w:val="32"/>
        </w:rPr>
        <w:t>隔声等措施，确保厂界噪声达标。</w:t>
      </w:r>
    </w:p>
    <w:p>
      <w:pPr>
        <w:pStyle w:val="8"/>
        <w:spacing w:line="700" w:lineRule="exact"/>
        <w:ind w:firstLine="640" w:firstLineChars="200"/>
        <w:rPr>
          <w:bCs/>
          <w:sz w:val="32"/>
          <w:szCs w:val="32"/>
        </w:rPr>
      </w:pPr>
      <w:r>
        <w:rPr>
          <w:bCs/>
          <w:sz w:val="32"/>
          <w:szCs w:val="32"/>
        </w:rPr>
        <w:t>4、</w:t>
      </w:r>
      <w:r>
        <w:rPr>
          <w:rFonts w:hint="eastAsia"/>
          <w:bCs/>
          <w:sz w:val="32"/>
          <w:szCs w:val="32"/>
        </w:rPr>
        <w:t>做好各类固体废物的收集、贮存、运输和处置，做到资源化、减量化、无害化。项目产生的</w:t>
      </w:r>
      <w:r>
        <w:rPr>
          <w:bCs/>
          <w:sz w:val="32"/>
          <w:szCs w:val="32"/>
        </w:rPr>
        <w:t>干污泥</w:t>
      </w:r>
      <w:r>
        <w:rPr>
          <w:rFonts w:hint="eastAsia"/>
          <w:bCs/>
          <w:sz w:val="32"/>
          <w:szCs w:val="32"/>
        </w:rPr>
        <w:t>（772-006-49）</w:t>
      </w:r>
      <w:r>
        <w:rPr>
          <w:bCs/>
          <w:sz w:val="32"/>
          <w:szCs w:val="32"/>
        </w:rPr>
        <w:t>、蒸发釜残</w:t>
      </w:r>
      <w:r>
        <w:rPr>
          <w:rFonts w:hint="eastAsia"/>
          <w:bCs/>
          <w:sz w:val="32"/>
          <w:szCs w:val="32"/>
        </w:rPr>
        <w:t>（772-006-49）</w:t>
      </w:r>
      <w:r>
        <w:rPr>
          <w:bCs/>
          <w:sz w:val="32"/>
          <w:szCs w:val="32"/>
        </w:rPr>
        <w:t>、压滤渣</w:t>
      </w:r>
      <w:r>
        <w:rPr>
          <w:rFonts w:hint="eastAsia"/>
          <w:bCs/>
          <w:sz w:val="32"/>
          <w:szCs w:val="32"/>
        </w:rPr>
        <w:t>（772-006-49）</w:t>
      </w:r>
      <w:r>
        <w:rPr>
          <w:bCs/>
          <w:sz w:val="32"/>
          <w:szCs w:val="32"/>
        </w:rPr>
        <w:t>、废包装桶</w:t>
      </w:r>
      <w:r>
        <w:rPr>
          <w:rFonts w:hint="eastAsia"/>
          <w:bCs/>
          <w:sz w:val="32"/>
          <w:szCs w:val="32"/>
        </w:rPr>
        <w:t>（900-041-49）</w:t>
      </w:r>
      <w:r>
        <w:rPr>
          <w:bCs/>
          <w:sz w:val="32"/>
          <w:szCs w:val="32"/>
        </w:rPr>
        <w:t>，均属于危险废物，交由有资质单位进行处置</w:t>
      </w:r>
      <w:r>
        <w:rPr>
          <w:rFonts w:hint="eastAsia"/>
          <w:bCs/>
          <w:sz w:val="32"/>
          <w:szCs w:val="32"/>
        </w:rPr>
        <w:t>；以上危险废物需按照《危险废物收集</w:t>
      </w:r>
      <w:r>
        <w:rPr>
          <w:bCs/>
          <w:sz w:val="32"/>
          <w:szCs w:val="32"/>
        </w:rPr>
        <w:t xml:space="preserve"> </w:t>
      </w:r>
      <w:r>
        <w:rPr>
          <w:rFonts w:hint="eastAsia"/>
          <w:bCs/>
          <w:sz w:val="32"/>
          <w:szCs w:val="32"/>
        </w:rPr>
        <w:t>贮存运输技术规范》（</w:t>
      </w:r>
      <w:r>
        <w:rPr>
          <w:bCs/>
          <w:sz w:val="32"/>
          <w:szCs w:val="32"/>
        </w:rPr>
        <w:t>HJ2025-2012</w:t>
      </w:r>
      <w:r>
        <w:rPr>
          <w:rFonts w:hint="eastAsia"/>
          <w:bCs/>
          <w:sz w:val="32"/>
          <w:szCs w:val="32"/>
        </w:rPr>
        <w:t>）进行收集、贮存及运输；危险废物暂存库应按照《危险废物贮存污染控制标准》（</w:t>
      </w:r>
      <w:r>
        <w:rPr>
          <w:bCs/>
          <w:sz w:val="32"/>
          <w:szCs w:val="32"/>
        </w:rPr>
        <w:t>GB18597-2001</w:t>
      </w:r>
      <w:r>
        <w:rPr>
          <w:rFonts w:hint="eastAsia"/>
          <w:bCs/>
          <w:sz w:val="32"/>
          <w:szCs w:val="32"/>
        </w:rPr>
        <w:t>）进行建设和管理。</w:t>
      </w:r>
      <w:r>
        <w:rPr>
          <w:bCs/>
          <w:sz w:val="32"/>
          <w:szCs w:val="32"/>
        </w:rPr>
        <w:t>废包装袋</w:t>
      </w:r>
      <w:r>
        <w:rPr>
          <w:rFonts w:hint="eastAsia"/>
          <w:bCs/>
          <w:sz w:val="32"/>
          <w:szCs w:val="32"/>
        </w:rPr>
        <w:t>（铁粉、碳酸钠等辅料包装袋）</w:t>
      </w:r>
      <w:r>
        <w:rPr>
          <w:bCs/>
          <w:sz w:val="32"/>
          <w:szCs w:val="32"/>
        </w:rPr>
        <w:t>和废包装瓶</w:t>
      </w:r>
      <w:r>
        <w:rPr>
          <w:rFonts w:hint="eastAsia"/>
          <w:bCs/>
          <w:sz w:val="32"/>
          <w:szCs w:val="32"/>
        </w:rPr>
        <w:t>（按照实验室管理要求清洗后的废包装瓶）</w:t>
      </w:r>
      <w:r>
        <w:rPr>
          <w:bCs/>
          <w:sz w:val="32"/>
          <w:szCs w:val="32"/>
        </w:rPr>
        <w:t>，均属于一般工业固体废物，由物资回收部门处理</w:t>
      </w:r>
      <w:r>
        <w:rPr>
          <w:rFonts w:hint="eastAsia"/>
          <w:bCs/>
          <w:sz w:val="32"/>
          <w:szCs w:val="32"/>
        </w:rPr>
        <w:t>。</w:t>
      </w:r>
    </w:p>
    <w:p>
      <w:pPr>
        <w:pStyle w:val="8"/>
        <w:spacing w:line="700" w:lineRule="exact"/>
        <w:ind w:firstLine="640" w:firstLineChars="200"/>
        <w:rPr>
          <w:bCs/>
          <w:sz w:val="32"/>
          <w:szCs w:val="32"/>
        </w:rPr>
      </w:pPr>
      <w:r>
        <w:rPr>
          <w:rFonts w:hint="eastAsia"/>
          <w:bCs/>
          <w:sz w:val="32"/>
          <w:szCs w:val="32"/>
        </w:rPr>
        <w:t>5</w:t>
      </w:r>
      <w:r>
        <w:rPr>
          <w:bCs/>
          <w:sz w:val="32"/>
          <w:szCs w:val="32"/>
        </w:rPr>
        <w:t>、</w:t>
      </w:r>
      <w:r>
        <w:rPr>
          <w:rFonts w:hint="eastAsia"/>
          <w:bCs/>
          <w:sz w:val="32"/>
          <w:szCs w:val="32"/>
        </w:rPr>
        <w:t>按照相关规定，做好排污口规范化工作，设置规范的采样点，悬挂符合要求的标识牌。</w:t>
      </w:r>
    </w:p>
    <w:p>
      <w:pPr>
        <w:pStyle w:val="8"/>
        <w:spacing w:line="700" w:lineRule="exact"/>
        <w:ind w:firstLine="640" w:firstLineChars="200"/>
        <w:rPr>
          <w:bCs/>
          <w:sz w:val="32"/>
          <w:szCs w:val="32"/>
        </w:rPr>
      </w:pPr>
      <w:r>
        <w:rPr>
          <w:rFonts w:hint="eastAsia"/>
          <w:bCs/>
          <w:sz w:val="32"/>
          <w:szCs w:val="32"/>
        </w:rPr>
        <w:t>6、根据“源头控制、分区防治、污染监控、应急响应</w:t>
      </w:r>
      <w:r>
        <w:rPr>
          <w:bCs/>
          <w:sz w:val="32"/>
          <w:szCs w:val="32"/>
        </w:rPr>
        <w:t>”</w:t>
      </w:r>
      <w:r>
        <w:rPr>
          <w:rFonts w:hint="eastAsia"/>
          <w:bCs/>
          <w:sz w:val="32"/>
          <w:szCs w:val="32"/>
        </w:rPr>
        <w:t>的原则，按照报告要求采取严格的防渗、防泄漏、防腐蚀等措施，严禁对地下水产生影响。</w:t>
      </w:r>
      <w:r>
        <w:rPr>
          <w:bCs/>
          <w:sz w:val="32"/>
          <w:szCs w:val="32"/>
        </w:rPr>
        <w:t>建立完善的地下水监测制度</w:t>
      </w:r>
      <w:r>
        <w:rPr>
          <w:rFonts w:hint="eastAsia"/>
          <w:bCs/>
          <w:sz w:val="32"/>
          <w:szCs w:val="32"/>
        </w:rPr>
        <w:t>，</w:t>
      </w:r>
      <w:r>
        <w:rPr>
          <w:bCs/>
          <w:sz w:val="32"/>
          <w:szCs w:val="32"/>
        </w:rPr>
        <w:t>合理设置地下水监测井，严格落实地下水监测计划</w:t>
      </w:r>
      <w:r>
        <w:rPr>
          <w:rFonts w:hint="eastAsia"/>
          <w:bCs/>
          <w:sz w:val="32"/>
          <w:szCs w:val="32"/>
        </w:rPr>
        <w:t>。</w:t>
      </w:r>
    </w:p>
    <w:p>
      <w:pPr>
        <w:pStyle w:val="8"/>
        <w:spacing w:line="700" w:lineRule="exact"/>
        <w:ind w:firstLine="640" w:firstLineChars="200"/>
        <w:rPr>
          <w:bCs/>
          <w:sz w:val="32"/>
          <w:szCs w:val="32"/>
        </w:rPr>
      </w:pPr>
      <w:r>
        <w:rPr>
          <w:rFonts w:hint="eastAsia"/>
          <w:bCs/>
          <w:sz w:val="32"/>
          <w:szCs w:val="32"/>
        </w:rPr>
        <w:t>7、强化日常管理，做好风险事故防范措施，制定环境突发环境事件应急预案，杜绝发生环境事故和次生环境事故，防止事故造成的环境污染。</w:t>
      </w:r>
    </w:p>
    <w:p>
      <w:pPr>
        <w:pStyle w:val="8"/>
        <w:spacing w:line="700" w:lineRule="exact"/>
        <w:ind w:firstLine="640" w:firstLineChars="200"/>
        <w:rPr>
          <w:bCs/>
          <w:sz w:val="32"/>
          <w:szCs w:val="32"/>
        </w:rPr>
      </w:pPr>
      <w:r>
        <w:rPr>
          <w:rFonts w:hint="eastAsia"/>
          <w:bCs/>
          <w:sz w:val="32"/>
          <w:szCs w:val="32"/>
        </w:rPr>
        <w:t>四、</w:t>
      </w:r>
      <w:r>
        <w:rPr>
          <w:bCs/>
          <w:sz w:val="32"/>
          <w:szCs w:val="32"/>
        </w:rPr>
        <w:t>项目建设应严格执行环境保护设施与主体工程同时设计、同时施工、同时投产使用的“三同时”管理制度。项目</w:t>
      </w:r>
      <w:r>
        <w:rPr>
          <w:rFonts w:hint="eastAsia"/>
          <w:bCs/>
          <w:sz w:val="32"/>
          <w:szCs w:val="32"/>
        </w:rPr>
        <w:t>应</w:t>
      </w:r>
      <w:r>
        <w:rPr>
          <w:bCs/>
          <w:sz w:val="32"/>
          <w:szCs w:val="32"/>
        </w:rPr>
        <w:t>按规定</w:t>
      </w:r>
      <w:r>
        <w:rPr>
          <w:rFonts w:hint="eastAsia"/>
          <w:bCs/>
          <w:sz w:val="32"/>
          <w:szCs w:val="32"/>
        </w:rPr>
        <w:t>标准和</w:t>
      </w:r>
      <w:r>
        <w:rPr>
          <w:bCs/>
          <w:sz w:val="32"/>
          <w:szCs w:val="32"/>
        </w:rPr>
        <w:t>程序</w:t>
      </w:r>
      <w:r>
        <w:rPr>
          <w:rFonts w:hint="eastAsia"/>
          <w:bCs/>
          <w:sz w:val="32"/>
          <w:szCs w:val="32"/>
        </w:rPr>
        <w:t>开展</w:t>
      </w:r>
      <w:r>
        <w:rPr>
          <w:bCs/>
          <w:sz w:val="32"/>
          <w:szCs w:val="32"/>
        </w:rPr>
        <w:t>环境保护验收，经验收合格后方可正式投入运营。</w:t>
      </w:r>
    </w:p>
    <w:p>
      <w:pPr>
        <w:pStyle w:val="8"/>
        <w:spacing w:line="700" w:lineRule="exact"/>
        <w:ind w:firstLine="640" w:firstLineChars="200"/>
        <w:rPr>
          <w:bCs/>
          <w:sz w:val="32"/>
          <w:szCs w:val="32"/>
        </w:rPr>
      </w:pPr>
      <w:r>
        <w:rPr>
          <w:rFonts w:hint="eastAsia"/>
          <w:bCs/>
          <w:sz w:val="32"/>
          <w:szCs w:val="32"/>
        </w:rPr>
        <w:t>五</w:t>
      </w:r>
      <w:r>
        <w:rPr>
          <w:bCs/>
          <w:sz w:val="32"/>
          <w:szCs w:val="32"/>
        </w:rPr>
        <w:t>、若建设项目发生重大变动，</w:t>
      </w:r>
      <w:r>
        <w:rPr>
          <w:rFonts w:hint="eastAsia"/>
          <w:bCs/>
          <w:sz w:val="32"/>
          <w:szCs w:val="32"/>
        </w:rPr>
        <w:t>需</w:t>
      </w:r>
      <w:r>
        <w:rPr>
          <w:bCs/>
          <w:sz w:val="32"/>
          <w:szCs w:val="32"/>
        </w:rPr>
        <w:t>重新报批建设项目的环境影响评价文件。</w:t>
      </w:r>
    </w:p>
    <w:p>
      <w:pPr>
        <w:pStyle w:val="8"/>
        <w:spacing w:line="700" w:lineRule="exact"/>
        <w:ind w:firstLine="640" w:firstLineChars="200"/>
        <w:rPr>
          <w:bCs/>
          <w:sz w:val="32"/>
          <w:szCs w:val="32"/>
        </w:rPr>
      </w:pPr>
      <w:r>
        <w:rPr>
          <w:rFonts w:hint="eastAsia"/>
          <w:bCs/>
          <w:sz w:val="32"/>
          <w:szCs w:val="32"/>
        </w:rPr>
        <w:t>六、你单位应在启动生产设施或者在实际排污之前按照法律法规要求做好排污许可管理相关工作。</w:t>
      </w:r>
    </w:p>
    <w:p>
      <w:pPr>
        <w:pStyle w:val="8"/>
        <w:spacing w:line="700" w:lineRule="exact"/>
        <w:ind w:firstLine="640" w:firstLineChars="200"/>
        <w:rPr>
          <w:bCs/>
          <w:sz w:val="32"/>
          <w:szCs w:val="32"/>
        </w:rPr>
      </w:pPr>
      <w:r>
        <w:rPr>
          <w:rFonts w:hint="eastAsia"/>
          <w:bCs/>
          <w:sz w:val="32"/>
          <w:szCs w:val="32"/>
        </w:rPr>
        <w:t>七、</w:t>
      </w:r>
      <w:r>
        <w:rPr>
          <w:bCs/>
          <w:sz w:val="32"/>
          <w:szCs w:val="32"/>
        </w:rPr>
        <w:t>项目应执行以下</w:t>
      </w:r>
      <w:r>
        <w:rPr>
          <w:rFonts w:hint="eastAsia"/>
          <w:bCs/>
          <w:sz w:val="32"/>
          <w:szCs w:val="32"/>
        </w:rPr>
        <w:t>排放</w:t>
      </w:r>
      <w:r>
        <w:rPr>
          <w:bCs/>
          <w:sz w:val="32"/>
          <w:szCs w:val="32"/>
        </w:rPr>
        <w:t>标准：</w:t>
      </w:r>
    </w:p>
    <w:p>
      <w:pPr>
        <w:pStyle w:val="8"/>
        <w:spacing w:line="700" w:lineRule="exact"/>
        <w:ind w:firstLine="640" w:firstLineChars="200"/>
        <w:rPr>
          <w:bCs/>
          <w:sz w:val="32"/>
          <w:szCs w:val="32"/>
        </w:rPr>
      </w:pPr>
      <w:r>
        <w:rPr>
          <w:bCs/>
          <w:sz w:val="32"/>
          <w:szCs w:val="32"/>
        </w:rPr>
        <w:t>1、《环境空气质量标准》（GB3095-2012）二级；</w:t>
      </w:r>
    </w:p>
    <w:p>
      <w:pPr>
        <w:pStyle w:val="8"/>
        <w:spacing w:line="700" w:lineRule="exact"/>
        <w:ind w:firstLine="640" w:firstLineChars="200"/>
        <w:rPr>
          <w:bCs/>
          <w:sz w:val="32"/>
          <w:szCs w:val="32"/>
        </w:rPr>
      </w:pPr>
      <w:r>
        <w:rPr>
          <w:rFonts w:hint="eastAsia"/>
          <w:bCs/>
          <w:sz w:val="32"/>
          <w:szCs w:val="32"/>
        </w:rPr>
        <w:t>2、</w:t>
      </w:r>
      <w:r>
        <w:rPr>
          <w:bCs/>
          <w:sz w:val="32"/>
          <w:szCs w:val="32"/>
        </w:rPr>
        <w:t>《声环境质量标准》（GB3096-2008）</w:t>
      </w:r>
      <w:r>
        <w:rPr>
          <w:rFonts w:hint="eastAsia"/>
          <w:bCs/>
          <w:sz w:val="32"/>
          <w:szCs w:val="32"/>
        </w:rPr>
        <w:t>3</w:t>
      </w:r>
      <w:r>
        <w:rPr>
          <w:bCs/>
          <w:sz w:val="32"/>
          <w:szCs w:val="32"/>
        </w:rPr>
        <w:t>类；</w:t>
      </w:r>
    </w:p>
    <w:p>
      <w:pPr>
        <w:pStyle w:val="8"/>
        <w:spacing w:line="700" w:lineRule="exact"/>
        <w:ind w:firstLine="640" w:firstLineChars="200"/>
        <w:rPr>
          <w:bCs/>
          <w:sz w:val="32"/>
          <w:szCs w:val="32"/>
        </w:rPr>
      </w:pPr>
      <w:r>
        <w:rPr>
          <w:rFonts w:hint="eastAsia"/>
          <w:bCs/>
          <w:sz w:val="32"/>
          <w:szCs w:val="32"/>
        </w:rPr>
        <w:t>3、《地下水质量标准》（GB/T 14848-2017）；</w:t>
      </w:r>
    </w:p>
    <w:p>
      <w:pPr>
        <w:pStyle w:val="8"/>
        <w:spacing w:line="700" w:lineRule="exact"/>
        <w:ind w:firstLine="640" w:firstLineChars="200"/>
        <w:rPr>
          <w:bCs/>
          <w:sz w:val="32"/>
          <w:szCs w:val="32"/>
        </w:rPr>
      </w:pPr>
      <w:r>
        <w:rPr>
          <w:rFonts w:hint="eastAsia"/>
          <w:bCs/>
          <w:sz w:val="32"/>
          <w:szCs w:val="32"/>
        </w:rPr>
        <w:t>4、《地表水环境质量标准》（GB 3838-2002）；</w:t>
      </w:r>
    </w:p>
    <w:p>
      <w:pPr>
        <w:pStyle w:val="8"/>
        <w:spacing w:line="700" w:lineRule="exact"/>
        <w:ind w:firstLine="640" w:firstLineChars="200"/>
        <w:rPr>
          <w:bCs/>
          <w:sz w:val="32"/>
          <w:szCs w:val="32"/>
        </w:rPr>
      </w:pPr>
      <w:r>
        <w:rPr>
          <w:rFonts w:hint="eastAsia"/>
          <w:bCs/>
          <w:sz w:val="32"/>
          <w:szCs w:val="32"/>
        </w:rPr>
        <w:t>5、《土壤环境质量建设用地土壤污染风险管控标准》（试行）（GB36600-2018）；</w:t>
      </w:r>
    </w:p>
    <w:p>
      <w:pPr>
        <w:pStyle w:val="8"/>
        <w:spacing w:line="700" w:lineRule="exact"/>
        <w:ind w:firstLine="640" w:firstLineChars="200"/>
        <w:rPr>
          <w:bCs/>
          <w:sz w:val="32"/>
          <w:szCs w:val="32"/>
        </w:rPr>
      </w:pPr>
      <w:r>
        <w:rPr>
          <w:rFonts w:hint="eastAsia"/>
          <w:bCs/>
          <w:sz w:val="32"/>
          <w:szCs w:val="32"/>
        </w:rPr>
        <w:t>6、</w:t>
      </w:r>
      <w:r>
        <w:rPr>
          <w:bCs/>
          <w:sz w:val="32"/>
          <w:szCs w:val="32"/>
        </w:rPr>
        <w:t>《大气污染物综合排放标准》（GB16297-1996）</w:t>
      </w:r>
      <w:r>
        <w:rPr>
          <w:rFonts w:hint="eastAsia"/>
          <w:bCs/>
          <w:sz w:val="32"/>
          <w:szCs w:val="32"/>
        </w:rPr>
        <w:t>；</w:t>
      </w:r>
    </w:p>
    <w:p>
      <w:pPr>
        <w:pStyle w:val="8"/>
        <w:spacing w:line="700" w:lineRule="exact"/>
        <w:ind w:firstLine="640" w:firstLineChars="200"/>
        <w:rPr>
          <w:bCs/>
          <w:sz w:val="32"/>
          <w:szCs w:val="32"/>
        </w:rPr>
      </w:pPr>
      <w:r>
        <w:rPr>
          <w:rFonts w:hint="eastAsia"/>
          <w:bCs/>
          <w:sz w:val="32"/>
          <w:szCs w:val="32"/>
        </w:rPr>
        <w:t>7、</w:t>
      </w:r>
      <w:r>
        <w:rPr>
          <w:bCs/>
          <w:sz w:val="32"/>
          <w:szCs w:val="32"/>
        </w:rPr>
        <w:t>《污水综合排放标准》（DB12/356-2018）三级</w:t>
      </w:r>
      <w:r>
        <w:rPr>
          <w:rFonts w:hint="eastAsia"/>
          <w:bCs/>
          <w:sz w:val="32"/>
          <w:szCs w:val="32"/>
        </w:rPr>
        <w:t>；</w:t>
      </w:r>
    </w:p>
    <w:p>
      <w:pPr>
        <w:pStyle w:val="8"/>
        <w:spacing w:line="700" w:lineRule="exact"/>
        <w:ind w:firstLine="640" w:firstLineChars="200"/>
        <w:rPr>
          <w:bCs/>
          <w:sz w:val="32"/>
          <w:szCs w:val="32"/>
        </w:rPr>
      </w:pPr>
      <w:r>
        <w:rPr>
          <w:rFonts w:hint="eastAsia"/>
          <w:bCs/>
          <w:sz w:val="32"/>
          <w:szCs w:val="32"/>
        </w:rPr>
        <w:t>8、</w:t>
      </w:r>
      <w:r>
        <w:rPr>
          <w:bCs/>
          <w:sz w:val="32"/>
          <w:szCs w:val="32"/>
        </w:rPr>
        <w:t>《工业企业厂界环境噪声排放标准》(GB12348-2008)</w:t>
      </w:r>
      <w:r>
        <w:rPr>
          <w:rFonts w:hint="eastAsia"/>
          <w:bCs/>
          <w:sz w:val="32"/>
          <w:szCs w:val="32"/>
        </w:rPr>
        <w:t>3</w:t>
      </w:r>
      <w:r>
        <w:rPr>
          <w:bCs/>
          <w:sz w:val="32"/>
          <w:szCs w:val="32"/>
        </w:rPr>
        <w:t>类；</w:t>
      </w:r>
    </w:p>
    <w:p>
      <w:pPr>
        <w:pStyle w:val="8"/>
        <w:spacing w:line="700" w:lineRule="exact"/>
        <w:ind w:firstLine="640" w:firstLineChars="200"/>
        <w:rPr>
          <w:bCs/>
          <w:sz w:val="32"/>
          <w:szCs w:val="32"/>
        </w:rPr>
      </w:pPr>
      <w:r>
        <w:rPr>
          <w:rFonts w:hint="eastAsia"/>
          <w:bCs/>
          <w:sz w:val="32"/>
          <w:szCs w:val="32"/>
        </w:rPr>
        <w:t>9、</w:t>
      </w:r>
      <w:r>
        <w:rPr>
          <w:bCs/>
          <w:sz w:val="32"/>
          <w:szCs w:val="32"/>
        </w:rPr>
        <w:t>《建筑施工场界环境噪声排放标准》</w:t>
      </w:r>
      <w:r>
        <w:rPr>
          <w:rFonts w:hint="eastAsia"/>
          <w:bCs/>
          <w:sz w:val="32"/>
          <w:szCs w:val="32"/>
        </w:rPr>
        <w:t>（</w:t>
      </w:r>
      <w:r>
        <w:rPr>
          <w:bCs/>
          <w:sz w:val="32"/>
          <w:szCs w:val="32"/>
        </w:rPr>
        <w:t>GB12523-2011</w:t>
      </w:r>
      <w:r>
        <w:rPr>
          <w:rFonts w:hint="eastAsia"/>
          <w:bCs/>
          <w:sz w:val="32"/>
          <w:szCs w:val="32"/>
        </w:rPr>
        <w:t>）；</w:t>
      </w:r>
    </w:p>
    <w:p>
      <w:pPr>
        <w:pStyle w:val="8"/>
        <w:spacing w:line="700" w:lineRule="exact"/>
        <w:ind w:firstLine="640" w:firstLineChars="200"/>
        <w:rPr>
          <w:bCs/>
          <w:sz w:val="32"/>
          <w:szCs w:val="32"/>
        </w:rPr>
      </w:pPr>
      <w:r>
        <w:rPr>
          <w:rFonts w:hint="eastAsia"/>
          <w:bCs/>
          <w:sz w:val="32"/>
          <w:szCs w:val="32"/>
        </w:rPr>
        <w:t>10、</w:t>
      </w:r>
      <w:r>
        <w:rPr>
          <w:bCs/>
          <w:sz w:val="32"/>
          <w:szCs w:val="32"/>
        </w:rPr>
        <w:t>《危险废物贮存污染控制标准》（GB18597-2001）</w:t>
      </w:r>
      <w:r>
        <w:rPr>
          <w:rFonts w:hint="eastAsia"/>
          <w:bCs/>
          <w:sz w:val="32"/>
          <w:szCs w:val="32"/>
        </w:rPr>
        <w:t>及其修改单相关要求；</w:t>
      </w:r>
    </w:p>
    <w:p>
      <w:pPr>
        <w:pStyle w:val="8"/>
        <w:spacing w:line="700" w:lineRule="exact"/>
        <w:ind w:firstLine="640" w:firstLineChars="200"/>
        <w:rPr>
          <w:bCs/>
          <w:sz w:val="32"/>
          <w:szCs w:val="32"/>
        </w:rPr>
      </w:pPr>
      <w:r>
        <w:rPr>
          <w:rFonts w:hint="eastAsia"/>
          <w:bCs/>
          <w:sz w:val="32"/>
          <w:szCs w:val="32"/>
        </w:rPr>
        <w:t>11、《危险废物收集 贮存运输技术规范》（HJ2025-2012）；</w:t>
      </w:r>
    </w:p>
    <w:p>
      <w:pPr>
        <w:pStyle w:val="8"/>
        <w:spacing w:line="700" w:lineRule="exact"/>
        <w:ind w:firstLine="640" w:firstLineChars="200"/>
        <w:rPr>
          <w:bCs/>
          <w:sz w:val="32"/>
          <w:szCs w:val="32"/>
        </w:rPr>
      </w:pPr>
      <w:r>
        <w:rPr>
          <w:rFonts w:hint="eastAsia"/>
          <w:bCs/>
          <w:sz w:val="32"/>
          <w:szCs w:val="32"/>
        </w:rPr>
        <w:t>12、《一般工业固体废物贮存和填埋污染控制标准》（GB18599-2020）。</w:t>
      </w:r>
    </w:p>
    <w:p>
      <w:pPr>
        <w:pStyle w:val="8"/>
        <w:spacing w:line="700" w:lineRule="exact"/>
        <w:rPr>
          <w:bCs/>
          <w:sz w:val="32"/>
          <w:szCs w:val="32"/>
        </w:rPr>
      </w:pPr>
      <w:r>
        <w:rPr>
          <w:bCs/>
          <w:sz w:val="32"/>
          <w:szCs w:val="32"/>
        </w:rPr>
        <w:t>此复</w:t>
      </w:r>
    </w:p>
    <w:p>
      <w:pPr>
        <w:pStyle w:val="8"/>
        <w:spacing w:line="560" w:lineRule="exact"/>
        <w:ind w:firstLine="662" w:firstLineChars="207"/>
        <w:rPr>
          <w:sz w:val="32"/>
          <w:szCs w:val="32"/>
        </w:rPr>
      </w:pPr>
    </w:p>
    <w:p>
      <w:pPr>
        <w:pStyle w:val="8"/>
        <w:spacing w:line="560" w:lineRule="exact"/>
        <w:ind w:firstLine="662" w:firstLineChars="207"/>
        <w:rPr>
          <w:sz w:val="32"/>
          <w:szCs w:val="32"/>
        </w:rPr>
      </w:pPr>
    </w:p>
    <w:p>
      <w:pPr>
        <w:pStyle w:val="8"/>
        <w:spacing w:line="560" w:lineRule="exact"/>
        <w:ind w:firstLine="662" w:firstLineChars="207"/>
        <w:rPr>
          <w:sz w:val="32"/>
          <w:szCs w:val="32"/>
        </w:rPr>
      </w:pPr>
    </w:p>
    <w:p>
      <w:pPr>
        <w:spacing w:line="560" w:lineRule="exact"/>
        <w:jc w:val="left"/>
      </w:pPr>
      <w:r>
        <w:rPr>
          <w:rFonts w:hint="eastAsia"/>
        </w:rPr>
        <w:t xml:space="preserve">                               </w:t>
      </w:r>
      <w:r>
        <w:t>20</w:t>
      </w:r>
      <w:r>
        <w:rPr>
          <w:rFonts w:hint="eastAsia"/>
        </w:rPr>
        <w:t>22</w:t>
      </w:r>
      <w:r>
        <w:t>年</w:t>
      </w:r>
      <w:r>
        <w:rPr>
          <w:rFonts w:hint="eastAsia"/>
        </w:rPr>
        <w:t>10</w:t>
      </w:r>
      <w:r>
        <w:t>月</w:t>
      </w:r>
      <w:r>
        <w:rPr>
          <w:rFonts w:hint="eastAsia"/>
        </w:rPr>
        <w:t>24</w:t>
      </w:r>
      <w:r>
        <w:t>日</w:t>
      </w:r>
      <w:r>
        <w:rPr>
          <w:rFonts w:hint="eastAsia"/>
        </w:rPr>
        <w:t xml:space="preserve">        </w:t>
      </w:r>
    </w:p>
    <w:p>
      <w:pPr>
        <w:spacing w:line="560" w:lineRule="exact"/>
        <w:ind w:right="640"/>
        <w:jc w:val="right"/>
      </w:pPr>
    </w:p>
    <w:p>
      <w:pPr>
        <w:spacing w:line="560" w:lineRule="exact"/>
        <w:ind w:right="640"/>
        <w:jc w:val="right"/>
      </w:pPr>
    </w:p>
    <w:p>
      <w:pPr>
        <w:spacing w:line="560" w:lineRule="exact"/>
        <w:ind w:right="640"/>
        <w:jc w:val="right"/>
      </w:pPr>
    </w:p>
    <w:p>
      <w:pPr>
        <w:spacing w:line="560" w:lineRule="exact"/>
        <w:ind w:right="640"/>
        <w:jc w:val="right"/>
      </w:pPr>
    </w:p>
    <w:p>
      <w:pPr>
        <w:spacing w:line="520" w:lineRule="exact"/>
        <w:ind w:right="640"/>
        <w:jc w:val="right"/>
      </w:pPr>
    </w:p>
    <w:p>
      <w:pPr>
        <w:spacing w:line="520" w:lineRule="exact"/>
        <w:ind w:right="640"/>
        <w:jc w:val="right"/>
      </w:pPr>
    </w:p>
    <w:p>
      <w:pPr>
        <w:spacing w:line="360" w:lineRule="exact"/>
      </w:pPr>
      <w:r>
        <w:rPr>
          <w:rFonts w:eastAsia="黑体"/>
        </w:rPr>
        <w:t>主题词：</w:t>
      </w:r>
      <w:r>
        <w:t>环境影响 报告</w:t>
      </w:r>
      <w:r>
        <w:rPr>
          <w:rFonts w:hint="eastAsia"/>
        </w:rPr>
        <w:t>书</w:t>
      </w:r>
      <w:r>
        <w:t xml:space="preserve"> 批复                （共印4份）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319" w:hRule="atLeast"/>
        </w:trPr>
        <w:tc>
          <w:tcPr>
            <w:tcW w:w="1242" w:type="dxa"/>
            <w:tcBorders>
              <w:top w:val="single" w:color="auto" w:sz="8" w:space="0"/>
              <w:bottom w:val="single" w:color="auto" w:sz="8" w:space="0"/>
            </w:tcBorders>
          </w:tcPr>
          <w:p>
            <w:pPr>
              <w:spacing w:line="360" w:lineRule="exact"/>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pPr>
              <w:spacing w:line="360" w:lineRule="exact"/>
            </w:pPr>
            <w:r>
              <w:t>天津市滨海新区</w:t>
            </w:r>
            <w:r>
              <w:rPr>
                <w:rFonts w:hint="eastAsia"/>
              </w:rPr>
              <w:t>生态</w:t>
            </w:r>
            <w:r>
              <w:t>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pPr>
              <w:spacing w:line="360" w:lineRule="exact"/>
            </w:pPr>
            <w:r>
              <w:rPr>
                <w:rFonts w:hint="eastAsia"/>
              </w:rPr>
              <w:t>天津市滨海新区行政审批局</w:t>
            </w:r>
          </w:p>
        </w:tc>
        <w:tc>
          <w:tcPr>
            <w:tcW w:w="3890" w:type="dxa"/>
            <w:tcBorders>
              <w:top w:val="single" w:color="auto" w:sz="8" w:space="0"/>
            </w:tcBorders>
          </w:tcPr>
          <w:p>
            <w:pPr>
              <w:spacing w:line="360" w:lineRule="exact"/>
              <w:ind w:right="320" w:rightChars="100"/>
              <w:jc w:val="right"/>
            </w:pPr>
            <w:r>
              <w:t>20</w:t>
            </w:r>
            <w:r>
              <w:rPr>
                <w:rFonts w:hint="eastAsia"/>
              </w:rPr>
              <w:t>22</w:t>
            </w:r>
            <w:r>
              <w:t>年</w:t>
            </w:r>
            <w:r>
              <w:rPr>
                <w:rFonts w:hint="eastAsia"/>
              </w:rPr>
              <w:t>10月24</w:t>
            </w:r>
            <w:r>
              <w:t>日印发</w:t>
            </w:r>
          </w:p>
        </w:tc>
      </w:tr>
    </w:tbl>
    <w:p>
      <w:pPr>
        <w:spacing w:line="360" w:lineRule="exact"/>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CE7554-55C0-4CDB-854D-F3E019839D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5F40ADC-F9A1-4496-9B85-07AF7BB2D36B}"/>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DB9F2538-CDF4-4C0E-9143-D318D726AD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mMzczYjBjMmJhNGRiMmFkNjFhZDFhZGQxZTEzNzQifQ=="/>
  </w:docVars>
  <w:rsids>
    <w:rsidRoot w:val="005E4B9D"/>
    <w:rsid w:val="000000ED"/>
    <w:rsid w:val="00005129"/>
    <w:rsid w:val="00017EFA"/>
    <w:rsid w:val="00021047"/>
    <w:rsid w:val="00027F7A"/>
    <w:rsid w:val="00032953"/>
    <w:rsid w:val="00042F70"/>
    <w:rsid w:val="000451A7"/>
    <w:rsid w:val="000453B7"/>
    <w:rsid w:val="000548CC"/>
    <w:rsid w:val="00062FED"/>
    <w:rsid w:val="000634F1"/>
    <w:rsid w:val="00063BE2"/>
    <w:rsid w:val="000657B0"/>
    <w:rsid w:val="00077056"/>
    <w:rsid w:val="00077ADA"/>
    <w:rsid w:val="00080A98"/>
    <w:rsid w:val="00085EF5"/>
    <w:rsid w:val="0008666F"/>
    <w:rsid w:val="00091C2C"/>
    <w:rsid w:val="000931B0"/>
    <w:rsid w:val="000931CA"/>
    <w:rsid w:val="0009352D"/>
    <w:rsid w:val="00097DA8"/>
    <w:rsid w:val="000D45D0"/>
    <w:rsid w:val="000D754B"/>
    <w:rsid w:val="000E069B"/>
    <w:rsid w:val="000E209C"/>
    <w:rsid w:val="000F7EEF"/>
    <w:rsid w:val="001040CF"/>
    <w:rsid w:val="0011736F"/>
    <w:rsid w:val="00127AE7"/>
    <w:rsid w:val="00154AA1"/>
    <w:rsid w:val="00155A9A"/>
    <w:rsid w:val="001602A8"/>
    <w:rsid w:val="00162464"/>
    <w:rsid w:val="001708D6"/>
    <w:rsid w:val="001815AE"/>
    <w:rsid w:val="00185818"/>
    <w:rsid w:val="0019193B"/>
    <w:rsid w:val="001A21BB"/>
    <w:rsid w:val="001B066E"/>
    <w:rsid w:val="001C0D5B"/>
    <w:rsid w:val="001C71C4"/>
    <w:rsid w:val="001D55C1"/>
    <w:rsid w:val="001E44A6"/>
    <w:rsid w:val="001F3EDC"/>
    <w:rsid w:val="001F7786"/>
    <w:rsid w:val="002014D5"/>
    <w:rsid w:val="00203B29"/>
    <w:rsid w:val="002102C7"/>
    <w:rsid w:val="00210B83"/>
    <w:rsid w:val="0024430E"/>
    <w:rsid w:val="00261B2D"/>
    <w:rsid w:val="002642AD"/>
    <w:rsid w:val="0027460C"/>
    <w:rsid w:val="00275DD8"/>
    <w:rsid w:val="00282601"/>
    <w:rsid w:val="002846EE"/>
    <w:rsid w:val="002858A4"/>
    <w:rsid w:val="00292B28"/>
    <w:rsid w:val="002A2C3C"/>
    <w:rsid w:val="002A61D2"/>
    <w:rsid w:val="002A6EBE"/>
    <w:rsid w:val="002B607C"/>
    <w:rsid w:val="002D2E2A"/>
    <w:rsid w:val="002D4DA6"/>
    <w:rsid w:val="002D545C"/>
    <w:rsid w:val="002D7082"/>
    <w:rsid w:val="002E319B"/>
    <w:rsid w:val="002E401B"/>
    <w:rsid w:val="002E692F"/>
    <w:rsid w:val="002E747F"/>
    <w:rsid w:val="00310B46"/>
    <w:rsid w:val="003276C0"/>
    <w:rsid w:val="00330A22"/>
    <w:rsid w:val="00344CD9"/>
    <w:rsid w:val="00346E41"/>
    <w:rsid w:val="003631B1"/>
    <w:rsid w:val="00371D93"/>
    <w:rsid w:val="00373B1A"/>
    <w:rsid w:val="00374E8D"/>
    <w:rsid w:val="00380065"/>
    <w:rsid w:val="003837FD"/>
    <w:rsid w:val="00395C48"/>
    <w:rsid w:val="003A0AF9"/>
    <w:rsid w:val="003A397F"/>
    <w:rsid w:val="003A3EBD"/>
    <w:rsid w:val="003C657C"/>
    <w:rsid w:val="003D1A42"/>
    <w:rsid w:val="003D7B4C"/>
    <w:rsid w:val="003E053A"/>
    <w:rsid w:val="003E18B7"/>
    <w:rsid w:val="0040020E"/>
    <w:rsid w:val="00400DD2"/>
    <w:rsid w:val="00404088"/>
    <w:rsid w:val="0041139B"/>
    <w:rsid w:val="004206D8"/>
    <w:rsid w:val="0042398D"/>
    <w:rsid w:val="00427887"/>
    <w:rsid w:val="004312E2"/>
    <w:rsid w:val="00431B4A"/>
    <w:rsid w:val="00435238"/>
    <w:rsid w:val="00447B9B"/>
    <w:rsid w:val="00475631"/>
    <w:rsid w:val="00477540"/>
    <w:rsid w:val="004831E2"/>
    <w:rsid w:val="00495B78"/>
    <w:rsid w:val="004963AE"/>
    <w:rsid w:val="004969DE"/>
    <w:rsid w:val="004A5F7D"/>
    <w:rsid w:val="004B1790"/>
    <w:rsid w:val="004B1B4C"/>
    <w:rsid w:val="004B1D77"/>
    <w:rsid w:val="004B3BF4"/>
    <w:rsid w:val="004B6554"/>
    <w:rsid w:val="004B6CF6"/>
    <w:rsid w:val="004D5384"/>
    <w:rsid w:val="004E4C9E"/>
    <w:rsid w:val="00503728"/>
    <w:rsid w:val="005140B3"/>
    <w:rsid w:val="00514D56"/>
    <w:rsid w:val="005154D8"/>
    <w:rsid w:val="00520063"/>
    <w:rsid w:val="00535942"/>
    <w:rsid w:val="005413E6"/>
    <w:rsid w:val="005537B6"/>
    <w:rsid w:val="00571193"/>
    <w:rsid w:val="00580F91"/>
    <w:rsid w:val="00585C74"/>
    <w:rsid w:val="00585DE1"/>
    <w:rsid w:val="005860F7"/>
    <w:rsid w:val="00597D45"/>
    <w:rsid w:val="005A58A9"/>
    <w:rsid w:val="005A6D2D"/>
    <w:rsid w:val="005B1982"/>
    <w:rsid w:val="005B1C4A"/>
    <w:rsid w:val="005B2AAF"/>
    <w:rsid w:val="005B3531"/>
    <w:rsid w:val="005B68D9"/>
    <w:rsid w:val="005C641A"/>
    <w:rsid w:val="005D14A8"/>
    <w:rsid w:val="005D62D2"/>
    <w:rsid w:val="005D7258"/>
    <w:rsid w:val="005E1F3E"/>
    <w:rsid w:val="005E4B9D"/>
    <w:rsid w:val="005F2674"/>
    <w:rsid w:val="005F28FD"/>
    <w:rsid w:val="005F3FC6"/>
    <w:rsid w:val="005F4F6F"/>
    <w:rsid w:val="00611936"/>
    <w:rsid w:val="0061619F"/>
    <w:rsid w:val="00635419"/>
    <w:rsid w:val="0063707F"/>
    <w:rsid w:val="006379DF"/>
    <w:rsid w:val="00637D80"/>
    <w:rsid w:val="00641676"/>
    <w:rsid w:val="00644BE7"/>
    <w:rsid w:val="00645767"/>
    <w:rsid w:val="00650D40"/>
    <w:rsid w:val="0065312E"/>
    <w:rsid w:val="00660EAC"/>
    <w:rsid w:val="006618CE"/>
    <w:rsid w:val="00672AB5"/>
    <w:rsid w:val="00673A5F"/>
    <w:rsid w:val="006814DD"/>
    <w:rsid w:val="00687F41"/>
    <w:rsid w:val="0069481E"/>
    <w:rsid w:val="006952E6"/>
    <w:rsid w:val="006A3C27"/>
    <w:rsid w:val="006A3CA1"/>
    <w:rsid w:val="006A7FFC"/>
    <w:rsid w:val="006B0572"/>
    <w:rsid w:val="006B3C74"/>
    <w:rsid w:val="006B5159"/>
    <w:rsid w:val="006C5EDA"/>
    <w:rsid w:val="006C666D"/>
    <w:rsid w:val="006C6966"/>
    <w:rsid w:val="006C7509"/>
    <w:rsid w:val="006D0535"/>
    <w:rsid w:val="006D323D"/>
    <w:rsid w:val="006F68B5"/>
    <w:rsid w:val="006F7C55"/>
    <w:rsid w:val="0070112D"/>
    <w:rsid w:val="00705932"/>
    <w:rsid w:val="007148F8"/>
    <w:rsid w:val="00722B21"/>
    <w:rsid w:val="00726C81"/>
    <w:rsid w:val="0073526A"/>
    <w:rsid w:val="00745C96"/>
    <w:rsid w:val="00746C49"/>
    <w:rsid w:val="00756A6B"/>
    <w:rsid w:val="00764376"/>
    <w:rsid w:val="0076746E"/>
    <w:rsid w:val="00770158"/>
    <w:rsid w:val="0077289E"/>
    <w:rsid w:val="00783770"/>
    <w:rsid w:val="007838F6"/>
    <w:rsid w:val="00785125"/>
    <w:rsid w:val="007937C9"/>
    <w:rsid w:val="007A22B2"/>
    <w:rsid w:val="007A42BF"/>
    <w:rsid w:val="007C0570"/>
    <w:rsid w:val="007C49A0"/>
    <w:rsid w:val="007C5CCE"/>
    <w:rsid w:val="007F3A11"/>
    <w:rsid w:val="007F3BEB"/>
    <w:rsid w:val="007F45F1"/>
    <w:rsid w:val="007F7F4B"/>
    <w:rsid w:val="008071D5"/>
    <w:rsid w:val="00813E40"/>
    <w:rsid w:val="00835BB7"/>
    <w:rsid w:val="00836613"/>
    <w:rsid w:val="00840B59"/>
    <w:rsid w:val="00854762"/>
    <w:rsid w:val="00863B3E"/>
    <w:rsid w:val="0088082E"/>
    <w:rsid w:val="00880ACF"/>
    <w:rsid w:val="0089128F"/>
    <w:rsid w:val="008B3585"/>
    <w:rsid w:val="008B64A3"/>
    <w:rsid w:val="008B7F60"/>
    <w:rsid w:val="008C39B0"/>
    <w:rsid w:val="008E337A"/>
    <w:rsid w:val="008E7A7C"/>
    <w:rsid w:val="00903157"/>
    <w:rsid w:val="00915B0E"/>
    <w:rsid w:val="009329D7"/>
    <w:rsid w:val="00932A5B"/>
    <w:rsid w:val="0093523F"/>
    <w:rsid w:val="009405B8"/>
    <w:rsid w:val="00943995"/>
    <w:rsid w:val="00951076"/>
    <w:rsid w:val="0095580B"/>
    <w:rsid w:val="00956DC8"/>
    <w:rsid w:val="00960614"/>
    <w:rsid w:val="00962EEA"/>
    <w:rsid w:val="00971CA7"/>
    <w:rsid w:val="00975A90"/>
    <w:rsid w:val="00983896"/>
    <w:rsid w:val="009A01DB"/>
    <w:rsid w:val="009A26A1"/>
    <w:rsid w:val="009A38D1"/>
    <w:rsid w:val="009A6638"/>
    <w:rsid w:val="009B083C"/>
    <w:rsid w:val="009B3B1A"/>
    <w:rsid w:val="009C2978"/>
    <w:rsid w:val="009D0145"/>
    <w:rsid w:val="009D27F7"/>
    <w:rsid w:val="009D43FD"/>
    <w:rsid w:val="009D5CD3"/>
    <w:rsid w:val="009D65EE"/>
    <w:rsid w:val="009E34EE"/>
    <w:rsid w:val="00A144E3"/>
    <w:rsid w:val="00A16B2F"/>
    <w:rsid w:val="00A17D40"/>
    <w:rsid w:val="00A270E7"/>
    <w:rsid w:val="00A373B9"/>
    <w:rsid w:val="00A46A05"/>
    <w:rsid w:val="00A47243"/>
    <w:rsid w:val="00A51802"/>
    <w:rsid w:val="00A63DBE"/>
    <w:rsid w:val="00A6581B"/>
    <w:rsid w:val="00A820B7"/>
    <w:rsid w:val="00A84BFF"/>
    <w:rsid w:val="00A87B33"/>
    <w:rsid w:val="00A87B5F"/>
    <w:rsid w:val="00A947C4"/>
    <w:rsid w:val="00AA1C6F"/>
    <w:rsid w:val="00AA23AE"/>
    <w:rsid w:val="00AA52FC"/>
    <w:rsid w:val="00AB1BC3"/>
    <w:rsid w:val="00AB5754"/>
    <w:rsid w:val="00AB6CFA"/>
    <w:rsid w:val="00AD0CB6"/>
    <w:rsid w:val="00AD4B10"/>
    <w:rsid w:val="00AD5519"/>
    <w:rsid w:val="00AD7E0F"/>
    <w:rsid w:val="00AE2071"/>
    <w:rsid w:val="00AE2FBB"/>
    <w:rsid w:val="00AE3626"/>
    <w:rsid w:val="00AE466E"/>
    <w:rsid w:val="00AF1EA3"/>
    <w:rsid w:val="00AF6F47"/>
    <w:rsid w:val="00B01A96"/>
    <w:rsid w:val="00B02152"/>
    <w:rsid w:val="00B067C2"/>
    <w:rsid w:val="00B06C6D"/>
    <w:rsid w:val="00B13FB6"/>
    <w:rsid w:val="00B1517A"/>
    <w:rsid w:val="00B31641"/>
    <w:rsid w:val="00B37379"/>
    <w:rsid w:val="00B56AAE"/>
    <w:rsid w:val="00B57588"/>
    <w:rsid w:val="00B70DC0"/>
    <w:rsid w:val="00B739DA"/>
    <w:rsid w:val="00B7639D"/>
    <w:rsid w:val="00B84011"/>
    <w:rsid w:val="00B91E96"/>
    <w:rsid w:val="00B94584"/>
    <w:rsid w:val="00BA02E4"/>
    <w:rsid w:val="00BA188D"/>
    <w:rsid w:val="00BA2C98"/>
    <w:rsid w:val="00BB6F67"/>
    <w:rsid w:val="00BC1A3F"/>
    <w:rsid w:val="00BC3AE6"/>
    <w:rsid w:val="00BD70C1"/>
    <w:rsid w:val="00BE38C8"/>
    <w:rsid w:val="00BE56E3"/>
    <w:rsid w:val="00BF5079"/>
    <w:rsid w:val="00BF708D"/>
    <w:rsid w:val="00BF77C8"/>
    <w:rsid w:val="00C2482D"/>
    <w:rsid w:val="00C24C19"/>
    <w:rsid w:val="00C26759"/>
    <w:rsid w:val="00C3090B"/>
    <w:rsid w:val="00C572DE"/>
    <w:rsid w:val="00C71D07"/>
    <w:rsid w:val="00C74B54"/>
    <w:rsid w:val="00C76135"/>
    <w:rsid w:val="00C76B70"/>
    <w:rsid w:val="00C821D2"/>
    <w:rsid w:val="00C83698"/>
    <w:rsid w:val="00C93BD6"/>
    <w:rsid w:val="00C946CA"/>
    <w:rsid w:val="00CB0086"/>
    <w:rsid w:val="00CD60AB"/>
    <w:rsid w:val="00CE3A5A"/>
    <w:rsid w:val="00CE50C2"/>
    <w:rsid w:val="00CE727D"/>
    <w:rsid w:val="00CE7D57"/>
    <w:rsid w:val="00CF2E32"/>
    <w:rsid w:val="00D04168"/>
    <w:rsid w:val="00D07CB4"/>
    <w:rsid w:val="00D2190F"/>
    <w:rsid w:val="00D23537"/>
    <w:rsid w:val="00D43EFC"/>
    <w:rsid w:val="00D5178D"/>
    <w:rsid w:val="00D52B0E"/>
    <w:rsid w:val="00D60F28"/>
    <w:rsid w:val="00D74BAE"/>
    <w:rsid w:val="00D92D22"/>
    <w:rsid w:val="00D949FB"/>
    <w:rsid w:val="00D950F8"/>
    <w:rsid w:val="00DA353D"/>
    <w:rsid w:val="00DB4BBF"/>
    <w:rsid w:val="00DC203A"/>
    <w:rsid w:val="00DC4A11"/>
    <w:rsid w:val="00DD25A3"/>
    <w:rsid w:val="00DD4403"/>
    <w:rsid w:val="00DD7E52"/>
    <w:rsid w:val="00DE3659"/>
    <w:rsid w:val="00DE6716"/>
    <w:rsid w:val="00DE780B"/>
    <w:rsid w:val="00DF4F33"/>
    <w:rsid w:val="00E01196"/>
    <w:rsid w:val="00E07241"/>
    <w:rsid w:val="00E163F4"/>
    <w:rsid w:val="00E2178A"/>
    <w:rsid w:val="00E22F90"/>
    <w:rsid w:val="00E2523D"/>
    <w:rsid w:val="00E312EA"/>
    <w:rsid w:val="00E5000B"/>
    <w:rsid w:val="00E504D9"/>
    <w:rsid w:val="00E574A1"/>
    <w:rsid w:val="00E63B55"/>
    <w:rsid w:val="00E7111F"/>
    <w:rsid w:val="00E73A6B"/>
    <w:rsid w:val="00E74BCF"/>
    <w:rsid w:val="00E765CB"/>
    <w:rsid w:val="00E76CAF"/>
    <w:rsid w:val="00E805A6"/>
    <w:rsid w:val="00E821A2"/>
    <w:rsid w:val="00E9501E"/>
    <w:rsid w:val="00E95586"/>
    <w:rsid w:val="00EA7883"/>
    <w:rsid w:val="00EB70C1"/>
    <w:rsid w:val="00EC51BA"/>
    <w:rsid w:val="00EE1F06"/>
    <w:rsid w:val="00F142DC"/>
    <w:rsid w:val="00F14DE5"/>
    <w:rsid w:val="00F20059"/>
    <w:rsid w:val="00F2273C"/>
    <w:rsid w:val="00F32BA5"/>
    <w:rsid w:val="00F331BC"/>
    <w:rsid w:val="00F44931"/>
    <w:rsid w:val="00F45431"/>
    <w:rsid w:val="00F51346"/>
    <w:rsid w:val="00F62653"/>
    <w:rsid w:val="00F74308"/>
    <w:rsid w:val="00F75867"/>
    <w:rsid w:val="00F85504"/>
    <w:rsid w:val="00F87ADE"/>
    <w:rsid w:val="00FB507C"/>
    <w:rsid w:val="00FD223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C672559"/>
    <w:rsid w:val="6E5B3674"/>
    <w:rsid w:val="6F0736D9"/>
    <w:rsid w:val="7681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rPr>
      <w:rFonts w:ascii="Times New Roman" w:hAnsi="Times New Roman" w:eastAsia="宋体"/>
      <w:sz w:val="21"/>
      <w:szCs w:val="24"/>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rFonts w:eastAsia="仿宋_GB2312"/>
      <w:kern w:val="2"/>
      <w:sz w:val="18"/>
      <w:szCs w:val="18"/>
    </w:rPr>
  </w:style>
  <w:style w:type="paragraph" w:customStyle="1" w:styleId="8">
    <w:name w:val="中文报告书样式"/>
    <w:basedOn w:val="1"/>
    <w:link w:val="9"/>
    <w:uiPriority w:val="0"/>
    <w:pPr>
      <w:adjustRightInd w:val="0"/>
      <w:spacing w:line="420" w:lineRule="atLeast"/>
      <w:jc w:val="left"/>
      <w:textAlignment w:val="baseline"/>
    </w:pPr>
    <w:rPr>
      <w:rFonts w:ascii="Times New Roman" w:hAnsi="Times New Roman"/>
      <w:kern w:val="24"/>
      <w:sz w:val="24"/>
      <w:szCs w:val="20"/>
    </w:rPr>
  </w:style>
  <w:style w:type="character" w:customStyle="1" w:styleId="9">
    <w:name w:val="中文报告书样式 Char1"/>
    <w:basedOn w:val="6"/>
    <w:link w:val="8"/>
    <w:locked/>
    <w:uiPriority w:val="0"/>
    <w:rPr>
      <w:rFonts w:ascii="Times New Roman" w:hAnsi="Times New Roman" w:eastAsia="仿宋_GB2312"/>
      <w:kern w:val="24"/>
      <w:sz w:val="24"/>
    </w:rPr>
  </w:style>
  <w:style w:type="character" w:customStyle="1" w:styleId="10">
    <w:name w:val="日期 Char"/>
    <w:basedOn w:val="6"/>
    <w:link w:val="2"/>
    <w:qFormat/>
    <w:uiPriority w:val="99"/>
    <w:rPr>
      <w:rFonts w:ascii="Times New Roman" w:hAnsi="Times New Roman"/>
      <w:kern w:val="2"/>
      <w:sz w:val="21"/>
      <w:szCs w:val="24"/>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2288</Words>
  <Characters>2646</Characters>
  <Lines>4</Lines>
  <Paragraphs>5</Paragraphs>
  <TotalTime>0</TotalTime>
  <ScaleCrop>false</ScaleCrop>
  <LinksUpToDate>false</LinksUpToDate>
  <CharactersWithSpaces>2710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2022-10-31T01:27:00Z</dcterms:created>
  <dc:creator>Administrator</dc:creator>
  <cp:lastModifiedBy>北大港湿地环保卫士</cp:lastModifiedBy>
  <cp:lastPrinted>2022-09-07T02:50:00Z</cp:lastPrinted>
  <dcterms:modified xsi:type="dcterms:W3CDTF">2022-10-31T01:37:14Z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F2EE73F926F049ECAA2DBCB2E35940A6</vt:lpwstr>
  </property>
</Properties>
</file>