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pPr>
    </w:p>
    <w:p>
      <w:pPr>
        <w:spacing w:line="360" w:lineRule="auto"/>
      </w:pPr>
    </w:p>
    <w:p/>
    <w:p>
      <w:pPr>
        <w:spacing w:line="360" w:lineRule="auto"/>
        <w:jc w:val="center"/>
        <w:rPr>
          <w:rFonts w:ascii="仿宋_GB2312"/>
        </w:rPr>
      </w:pPr>
    </w:p>
    <w:p>
      <w:pPr>
        <w:autoSpaceDE w:val="0"/>
        <w:autoSpaceDN w:val="0"/>
        <w:jc w:val="center"/>
        <w:rPr>
          <w:rFonts w:ascii="Times New Roman" w:hAnsi="Times New Roman"/>
        </w:rPr>
      </w:pPr>
      <w:r>
        <w:rPr>
          <w:rFonts w:hint="eastAsia" w:ascii="Times New Roman" w:hAnsi="Times New Roman"/>
          <w:lang w:val="zh-CN"/>
        </w:rPr>
        <w:t xml:space="preserve">津滨审批二室准〔2022〕185号 </w:t>
      </w:r>
      <w:bookmarkStart w:id="0" w:name="_GoBack"/>
      <w:bookmarkEnd w:id="0"/>
    </w:p>
    <w:p>
      <w:pPr>
        <w:spacing w:line="600" w:lineRule="exact"/>
        <w:jc w:val="center"/>
        <w:rPr>
          <w:b/>
          <w:color w:val="000000"/>
          <w:sz w:val="44"/>
        </w:rPr>
      </w:pPr>
      <w:r>
        <w:rPr>
          <w:rFonts w:hint="eastAsia"/>
          <w:lang w:val="zh-CN"/>
        </w:rPr>
        <w:t>（项目代码：</w:t>
      </w:r>
      <w:r>
        <w:rPr>
          <w:lang w:val="zh-CN"/>
        </w:rPr>
        <w:t>2112-120116-89-05-916356</w:t>
      </w:r>
      <w:r>
        <w:rPr>
          <w:rFonts w:hint="eastAsia"/>
          <w:lang w:val="zh-CN"/>
        </w:rPr>
        <w:t>）</w:t>
      </w:r>
    </w:p>
    <w:p>
      <w:pPr>
        <w:spacing w:line="660" w:lineRule="exact"/>
        <w:jc w:val="center"/>
        <w:rPr>
          <w:b/>
          <w:color w:val="000000"/>
        </w:rPr>
      </w:pPr>
    </w:p>
    <w:p>
      <w:pPr>
        <w:pStyle w:val="7"/>
        <w:spacing w:line="660" w:lineRule="exact"/>
        <w:jc w:val="center"/>
        <w:rPr>
          <w:rFonts w:eastAsia="方正小标宋简体"/>
          <w:color w:val="000000"/>
          <w:sz w:val="44"/>
        </w:rPr>
      </w:pPr>
      <w:r>
        <w:rPr>
          <w:rFonts w:hint="eastAsia" w:eastAsia="方正小标宋简体"/>
          <w:color w:val="000000"/>
          <w:sz w:val="44"/>
        </w:rPr>
        <w:t>关于天津储备库实验室环评项目</w:t>
      </w:r>
    </w:p>
    <w:p>
      <w:pPr>
        <w:pStyle w:val="7"/>
        <w:spacing w:line="660" w:lineRule="exact"/>
        <w:jc w:val="center"/>
        <w:rPr>
          <w:rFonts w:eastAsia="方正小标宋简体"/>
          <w:color w:val="000000"/>
          <w:sz w:val="44"/>
        </w:rPr>
      </w:pPr>
      <w:r>
        <w:rPr>
          <w:rFonts w:eastAsia="方正小标宋简体"/>
          <w:color w:val="000000"/>
          <w:sz w:val="44"/>
        </w:rPr>
        <w:t>环境影响报告表的批复</w:t>
      </w:r>
    </w:p>
    <w:p>
      <w:pPr>
        <w:spacing w:line="660" w:lineRule="exact"/>
        <w:jc w:val="center"/>
        <w:rPr>
          <w:b/>
          <w:color w:val="000000"/>
          <w:sz w:val="44"/>
        </w:rPr>
      </w:pPr>
    </w:p>
    <w:p>
      <w:pPr>
        <w:pStyle w:val="7"/>
        <w:spacing w:line="660" w:lineRule="exact"/>
        <w:rPr>
          <w:sz w:val="32"/>
          <w:szCs w:val="32"/>
        </w:rPr>
      </w:pPr>
      <w:r>
        <w:rPr>
          <w:rFonts w:hint="eastAsia"/>
          <w:sz w:val="32"/>
          <w:szCs w:val="32"/>
        </w:rPr>
        <w:t>中国石化销售股份有限公司华北分公司天津储备库</w:t>
      </w:r>
      <w:r>
        <w:rPr>
          <w:sz w:val="32"/>
          <w:szCs w:val="32"/>
        </w:rPr>
        <w:t>：</w:t>
      </w:r>
    </w:p>
    <w:p>
      <w:pPr>
        <w:pStyle w:val="7"/>
        <w:spacing w:line="660" w:lineRule="exact"/>
        <w:ind w:firstLine="662" w:firstLineChars="207"/>
        <w:rPr>
          <w:sz w:val="32"/>
          <w:szCs w:val="32"/>
        </w:rPr>
      </w:pPr>
      <w:r>
        <w:rPr>
          <w:sz w:val="32"/>
          <w:szCs w:val="32"/>
        </w:rPr>
        <w:t>你</w:t>
      </w:r>
      <w:r>
        <w:rPr>
          <w:rFonts w:hint="eastAsia"/>
          <w:sz w:val="32"/>
          <w:szCs w:val="32"/>
        </w:rPr>
        <w:t>单位</w:t>
      </w:r>
      <w:r>
        <w:rPr>
          <w:sz w:val="32"/>
          <w:szCs w:val="32"/>
        </w:rPr>
        <w:t>呈报的</w:t>
      </w:r>
      <w:r>
        <w:rPr>
          <w:rFonts w:hint="eastAsia"/>
          <w:sz w:val="32"/>
          <w:szCs w:val="32"/>
        </w:rPr>
        <w:t>《天津储备库实验室环评项目</w:t>
      </w:r>
      <w:r>
        <w:rPr>
          <w:sz w:val="32"/>
          <w:szCs w:val="32"/>
        </w:rPr>
        <w:t>环境影响报告表</w:t>
      </w:r>
      <w:r>
        <w:rPr>
          <w:rFonts w:hint="eastAsia"/>
          <w:sz w:val="32"/>
          <w:szCs w:val="32"/>
        </w:rPr>
        <w:t>的请示》、</w:t>
      </w:r>
      <w:r>
        <w:rPr>
          <w:sz w:val="32"/>
          <w:szCs w:val="32"/>
        </w:rPr>
        <w:t>《</w:t>
      </w:r>
      <w:r>
        <w:rPr>
          <w:rFonts w:hint="eastAsia"/>
          <w:sz w:val="32"/>
          <w:szCs w:val="32"/>
        </w:rPr>
        <w:t>天津储备库实验室环评项目</w:t>
      </w:r>
      <w:r>
        <w:rPr>
          <w:sz w:val="32"/>
          <w:szCs w:val="32"/>
        </w:rPr>
        <w:t>环境影响报告表》及其</w:t>
      </w:r>
      <w:r>
        <w:rPr>
          <w:rFonts w:hint="eastAsia"/>
          <w:sz w:val="32"/>
          <w:szCs w:val="32"/>
        </w:rPr>
        <w:t>相关材料</w:t>
      </w:r>
      <w:r>
        <w:rPr>
          <w:sz w:val="32"/>
          <w:szCs w:val="32"/>
        </w:rPr>
        <w:t>收悉。经研究，现批复如下：</w:t>
      </w:r>
    </w:p>
    <w:p>
      <w:pPr>
        <w:pStyle w:val="7"/>
        <w:spacing w:line="660" w:lineRule="exact"/>
        <w:ind w:firstLine="662" w:firstLineChars="207"/>
        <w:rPr>
          <w:sz w:val="32"/>
          <w:szCs w:val="32"/>
        </w:rPr>
      </w:pPr>
      <w:r>
        <w:rPr>
          <w:sz w:val="32"/>
          <w:szCs w:val="32"/>
        </w:rPr>
        <w:t>一、</w:t>
      </w:r>
      <w:r>
        <w:rPr>
          <w:rFonts w:hint="eastAsia"/>
          <w:sz w:val="32"/>
          <w:szCs w:val="32"/>
        </w:rPr>
        <w:t>你单位1990年在位于天津市滨海新区塘沽于庄子路13号的现有办公区内设油品检测实验室，利用检验设备对下设三个库区（新河分库、南疆1#库、南疆2#库）的汽油、柴油产品中硫含量、胶质含量、冷滤点、闭口闪点、蒸汽压等油品性质进行检测，年检测油品约600份。该项目由于建设时间较早，未履行环评审批手续。根据《关于建设项目未批先建“违法行为”法律适用问题的意见》（环政法函〔2018〕31号），你单位委托编制了环境影响报告，现报送我局审查。</w:t>
      </w:r>
    </w:p>
    <w:p>
      <w:pPr>
        <w:pStyle w:val="7"/>
        <w:spacing w:line="660" w:lineRule="exact"/>
        <w:ind w:firstLine="662" w:firstLineChars="207"/>
        <w:rPr>
          <w:sz w:val="32"/>
          <w:szCs w:val="32"/>
        </w:rPr>
      </w:pPr>
      <w:r>
        <w:rPr>
          <w:sz w:val="32"/>
          <w:szCs w:val="32"/>
        </w:rPr>
        <w:t>20</w:t>
      </w:r>
      <w:r>
        <w:rPr>
          <w:rFonts w:hint="eastAsia"/>
          <w:sz w:val="32"/>
          <w:szCs w:val="32"/>
        </w:rPr>
        <w:t>22</w:t>
      </w:r>
      <w:r>
        <w:rPr>
          <w:sz w:val="32"/>
          <w:szCs w:val="32"/>
        </w:rPr>
        <w:t>年</w:t>
      </w:r>
      <w:r>
        <w:rPr>
          <w:rFonts w:hint="eastAsia"/>
          <w:sz w:val="32"/>
          <w:szCs w:val="32"/>
        </w:rPr>
        <w:t>9</w:t>
      </w:r>
      <w:r>
        <w:rPr>
          <w:sz w:val="32"/>
          <w:szCs w:val="32"/>
        </w:rPr>
        <w:t>月</w:t>
      </w:r>
      <w:r>
        <w:rPr>
          <w:rFonts w:hint="eastAsia"/>
          <w:sz w:val="32"/>
          <w:szCs w:val="32"/>
        </w:rPr>
        <w:t>13</w:t>
      </w:r>
      <w:r>
        <w:rPr>
          <w:sz w:val="32"/>
          <w:szCs w:val="32"/>
        </w:rPr>
        <w:t>日至</w:t>
      </w:r>
      <w:r>
        <w:rPr>
          <w:rFonts w:hint="eastAsia"/>
          <w:sz w:val="32"/>
          <w:szCs w:val="32"/>
        </w:rPr>
        <w:t>9</w:t>
      </w:r>
      <w:r>
        <w:rPr>
          <w:sz w:val="32"/>
          <w:szCs w:val="32"/>
        </w:rPr>
        <w:t>月</w:t>
      </w:r>
      <w:r>
        <w:rPr>
          <w:rFonts w:hint="eastAsia"/>
          <w:sz w:val="32"/>
          <w:szCs w:val="32"/>
        </w:rPr>
        <w:t>19</w:t>
      </w:r>
      <w:r>
        <w:rPr>
          <w:sz w:val="32"/>
          <w:szCs w:val="32"/>
        </w:rPr>
        <w:t>日，我局将该项目受理情况进行公示；</w:t>
      </w:r>
      <w:r>
        <w:rPr>
          <w:rFonts w:hint="eastAsia"/>
          <w:sz w:val="32"/>
          <w:szCs w:val="32"/>
        </w:rPr>
        <w:t>10</w:t>
      </w:r>
      <w:r>
        <w:rPr>
          <w:sz w:val="32"/>
          <w:szCs w:val="32"/>
        </w:rPr>
        <w:t>月</w:t>
      </w:r>
      <w:r>
        <w:rPr>
          <w:rFonts w:hint="eastAsia"/>
          <w:sz w:val="32"/>
          <w:szCs w:val="32"/>
        </w:rPr>
        <w:t>17日至10月21日</w:t>
      </w:r>
      <w:r>
        <w:rPr>
          <w:sz w:val="32"/>
          <w:szCs w:val="32"/>
        </w:rPr>
        <w:t>，将该项目拟批复情况进行公示；根据公众反馈意见情况及环评报告结论，在严格落实环评报告所提出的各项污染防治措施、确保各类污染物稳定达标的前提下，同意该项目建设。</w:t>
      </w:r>
    </w:p>
    <w:p>
      <w:pPr>
        <w:pStyle w:val="7"/>
        <w:spacing w:line="660" w:lineRule="exact"/>
        <w:ind w:firstLine="662" w:firstLineChars="207"/>
        <w:rPr>
          <w:sz w:val="32"/>
          <w:szCs w:val="32"/>
        </w:rPr>
      </w:pPr>
      <w:r>
        <w:rPr>
          <w:sz w:val="32"/>
          <w:szCs w:val="32"/>
        </w:rPr>
        <w:t>二、项目</w:t>
      </w:r>
      <w:r>
        <w:rPr>
          <w:rFonts w:hint="eastAsia"/>
          <w:sz w:val="32"/>
          <w:szCs w:val="32"/>
        </w:rPr>
        <w:t>运营</w:t>
      </w:r>
      <w:r>
        <w:rPr>
          <w:sz w:val="32"/>
          <w:szCs w:val="32"/>
        </w:rPr>
        <w:t>过程中，你单位应重点做好以下工作：</w:t>
      </w:r>
    </w:p>
    <w:p>
      <w:pPr>
        <w:spacing w:line="660" w:lineRule="exact"/>
        <w:ind w:firstLine="640" w:firstLineChars="200"/>
        <w:textAlignment w:val="baseline"/>
      </w:pPr>
      <w:r>
        <w:rPr>
          <w:rFonts w:hint="eastAsia"/>
        </w:rPr>
        <w:t>1、项目产生的试验废气经通风橱及万向集气罩收集后引至“活性炭吸附装置”净化处理后，通过15m高排气筒P1达标排放。</w:t>
      </w:r>
    </w:p>
    <w:p>
      <w:pPr>
        <w:spacing w:line="660" w:lineRule="exact"/>
        <w:ind w:firstLine="640" w:firstLineChars="200"/>
      </w:pPr>
      <w:r>
        <w:t>2、</w:t>
      </w:r>
      <w:r>
        <w:rPr>
          <w:rFonts w:hint="eastAsia"/>
        </w:rPr>
        <w:t>生活污水经化粪池沉淀</w:t>
      </w:r>
      <w:r>
        <w:rPr>
          <w:rFonts w:hint="eastAsia" w:ascii="Times New Roman"/>
        </w:rPr>
        <w:t>处理后由厂区总排口达标排入市政污水管网，最终进入塘沽新河污水处理厂</w:t>
      </w:r>
      <w:r>
        <w:rPr>
          <w:rFonts w:hint="eastAsia"/>
        </w:rPr>
        <w:t>。</w:t>
      </w:r>
    </w:p>
    <w:p>
      <w:pPr>
        <w:spacing w:line="660" w:lineRule="exact"/>
        <w:ind w:firstLine="640" w:firstLineChars="200"/>
      </w:pPr>
      <w:r>
        <w:t>3、</w:t>
      </w:r>
      <w:r>
        <w:rPr>
          <w:rFonts w:hint="eastAsia"/>
        </w:rPr>
        <w:t>合理布局，选用低噪声设备，</w:t>
      </w:r>
      <w:r>
        <w:t>对产噪设备实施减振</w:t>
      </w:r>
      <w:r>
        <w:rPr>
          <w:rFonts w:hint="eastAsia"/>
        </w:rPr>
        <w:t>、消声、</w:t>
      </w:r>
      <w:r>
        <w:t>隔声等措施，确保厂界噪声达标。</w:t>
      </w:r>
    </w:p>
    <w:p>
      <w:pPr>
        <w:spacing w:line="660" w:lineRule="exact"/>
        <w:ind w:firstLine="640" w:firstLineChars="200"/>
        <w:textAlignment w:val="baseline"/>
      </w:pPr>
      <w:r>
        <w:t>4、</w:t>
      </w:r>
      <w:r>
        <w:rPr>
          <w:rFonts w:hint="eastAsia"/>
        </w:rPr>
        <w:t>做好各类固体废物的收集、贮存、运输和处置，做到资源化、减量化、无害化。项目产生的实验废物、沾染废物、废活性炭、实验清洗废水及废油桶等危险废物交由有资质的单位进行处理处置；以上危险废物需按照《危险废物收集</w:t>
      </w:r>
      <w:r>
        <w:t xml:space="preserve"> </w:t>
      </w:r>
      <w:r>
        <w:rPr>
          <w:rFonts w:hint="eastAsia"/>
        </w:rPr>
        <w:t>贮存运输技术规范》（</w:t>
      </w:r>
      <w:r>
        <w:t>HJ2025-2012</w:t>
      </w:r>
      <w:r>
        <w:rPr>
          <w:rFonts w:hint="eastAsia"/>
        </w:rPr>
        <w:t>）进行收集、贮存及运输；危险废物暂存库应按照《危险废物贮存污染控制标准》（</w:t>
      </w:r>
      <w:r>
        <w:t>GB18597-2001</w:t>
      </w:r>
      <w:r>
        <w:rPr>
          <w:rFonts w:hint="eastAsia"/>
        </w:rPr>
        <w:t>）进行建设和管理。包装废物由物资回收部门回收处理；职工生活垃圾由城管委定期清运。</w:t>
      </w:r>
    </w:p>
    <w:p>
      <w:pPr>
        <w:spacing w:line="660" w:lineRule="exact"/>
        <w:ind w:firstLine="640" w:firstLineChars="200"/>
        <w:textAlignment w:val="baseline"/>
        <w:rPr>
          <w:rFonts w:ascii="仿宋_GB2312"/>
        </w:rPr>
      </w:pPr>
      <w:r>
        <w:rPr>
          <w:rFonts w:hint="eastAsia"/>
        </w:rPr>
        <w:t>5、</w:t>
      </w:r>
      <w:r>
        <w:rPr>
          <w:rFonts w:hint="eastAsia" w:ascii="仿宋_GB2312"/>
        </w:rPr>
        <w:t>强化日常管理，做好风险事故防范措施，制定环境突发环境事件应急预案，杜绝发生环境事故和次生环境事故，防止事故造成的环境污染。</w:t>
      </w:r>
    </w:p>
    <w:p>
      <w:pPr>
        <w:spacing w:line="660" w:lineRule="exact"/>
        <w:ind w:firstLine="640" w:firstLineChars="200"/>
      </w:pPr>
      <w:r>
        <w:rPr>
          <w:rFonts w:hint="eastAsia"/>
        </w:rPr>
        <w:t>三、根据区生态环境局出具的《关于中国石化销售股份有限公司华北分公司天津储备库天津储备库实验室环评项目新增主要污染物总量来源的确认意见》，该项目污染物排放量为：VOC</w:t>
      </w:r>
      <w:r>
        <w:rPr>
          <w:rFonts w:hint="eastAsia"/>
          <w:vertAlign w:val="subscript"/>
        </w:rPr>
        <w:t>S</w:t>
      </w:r>
      <w:r>
        <w:rPr>
          <w:rFonts w:hint="eastAsia"/>
        </w:rPr>
        <w:t>0.006528吨/年、化学需氧量0.027吨/年、氨氮0.002吨/年、总氮0.0034吨/年、总磷0.0003吨/年，上述新增污染物总量指标均有来源。</w:t>
      </w:r>
    </w:p>
    <w:p>
      <w:pPr>
        <w:pStyle w:val="7"/>
        <w:spacing w:line="660" w:lineRule="exact"/>
        <w:ind w:firstLine="662" w:firstLineChars="207"/>
        <w:rPr>
          <w:rFonts w:ascii="Calibri" w:hAnsi="Calibri"/>
          <w:kern w:val="2"/>
          <w:sz w:val="32"/>
          <w:szCs w:val="32"/>
        </w:rPr>
      </w:pPr>
      <w:r>
        <w:rPr>
          <w:rFonts w:hint="eastAsia" w:ascii="Calibri" w:hAnsi="Calibri"/>
          <w:kern w:val="2"/>
          <w:sz w:val="32"/>
          <w:szCs w:val="32"/>
        </w:rPr>
        <w:t>四、你单位在启动生产设施或者发生实际排污之前，应按照法律法规要求，做好排污许可管理相关工作；并按规定的标准和程序开展环境保护验收，经验收合格后方可正式投入使用；若项目的性质、规模、地点、生产工艺或防治污染的措施发生重大变动，须重新报批环境影响评价文件。</w:t>
      </w:r>
    </w:p>
    <w:p>
      <w:pPr>
        <w:pStyle w:val="7"/>
        <w:spacing w:line="660" w:lineRule="exact"/>
        <w:ind w:firstLine="662" w:firstLineChars="207"/>
        <w:rPr>
          <w:sz w:val="32"/>
          <w:szCs w:val="32"/>
        </w:rPr>
      </w:pPr>
      <w:r>
        <w:rPr>
          <w:rFonts w:hint="eastAsia" w:ascii="Calibri" w:hAnsi="Calibri"/>
          <w:kern w:val="2"/>
          <w:sz w:val="32"/>
          <w:szCs w:val="32"/>
        </w:rPr>
        <w:t>五、项目应执行以下标准：</w:t>
      </w:r>
    </w:p>
    <w:p>
      <w:pPr>
        <w:pStyle w:val="7"/>
        <w:spacing w:line="660" w:lineRule="exact"/>
        <w:ind w:firstLine="662" w:firstLineChars="207"/>
        <w:rPr>
          <w:sz w:val="32"/>
          <w:szCs w:val="32"/>
        </w:rPr>
      </w:pPr>
      <w:r>
        <w:rPr>
          <w:sz w:val="32"/>
          <w:szCs w:val="32"/>
        </w:rPr>
        <w:t>1、《环境空气质量标准》（GB3095-2012）二级；</w:t>
      </w:r>
    </w:p>
    <w:p>
      <w:pPr>
        <w:pStyle w:val="7"/>
        <w:spacing w:line="660" w:lineRule="exact"/>
        <w:ind w:firstLine="662" w:firstLineChars="207"/>
        <w:rPr>
          <w:sz w:val="32"/>
          <w:szCs w:val="32"/>
        </w:rPr>
      </w:pPr>
      <w:r>
        <w:rPr>
          <w:rFonts w:hint="eastAsia"/>
          <w:sz w:val="32"/>
          <w:szCs w:val="32"/>
        </w:rPr>
        <w:t>2、</w:t>
      </w:r>
      <w:r>
        <w:rPr>
          <w:sz w:val="32"/>
          <w:szCs w:val="32"/>
        </w:rPr>
        <w:t>《声环境质量标准》（GB3096-2008）</w:t>
      </w:r>
      <w:r>
        <w:rPr>
          <w:rFonts w:hint="eastAsia"/>
          <w:sz w:val="32"/>
          <w:szCs w:val="32"/>
        </w:rPr>
        <w:t>2</w:t>
      </w:r>
      <w:r>
        <w:rPr>
          <w:sz w:val="32"/>
          <w:szCs w:val="32"/>
        </w:rPr>
        <w:t>类；</w:t>
      </w:r>
    </w:p>
    <w:p>
      <w:pPr>
        <w:spacing w:line="660" w:lineRule="exact"/>
        <w:ind w:firstLine="640" w:firstLineChars="200"/>
        <w:rPr>
          <w:rFonts w:ascii="Times New Roman" w:hAnsi="Times New Roman"/>
          <w:kern w:val="24"/>
        </w:rPr>
      </w:pPr>
      <w:r>
        <w:rPr>
          <w:rFonts w:hint="eastAsia" w:ascii="Times New Roman" w:hAnsi="Times New Roman"/>
          <w:kern w:val="24"/>
        </w:rPr>
        <w:t>3、《工业企业挥发性有机物排放控制标准》（DB12/524-2020）；</w:t>
      </w:r>
    </w:p>
    <w:p>
      <w:pPr>
        <w:spacing w:line="660" w:lineRule="exact"/>
        <w:ind w:firstLine="640" w:firstLineChars="200"/>
        <w:rPr>
          <w:rFonts w:ascii="Times New Roman" w:hAnsi="Times New Roman"/>
          <w:kern w:val="24"/>
        </w:rPr>
      </w:pPr>
      <w:r>
        <w:rPr>
          <w:rFonts w:hint="eastAsia" w:ascii="Times New Roman" w:hAnsi="Times New Roman"/>
          <w:kern w:val="24"/>
        </w:rPr>
        <w:t>4、《恶臭污染物排放标准》（DB12/059-2018）；</w:t>
      </w:r>
    </w:p>
    <w:p>
      <w:pPr>
        <w:spacing w:line="660" w:lineRule="exact"/>
        <w:ind w:firstLine="640" w:firstLineChars="200"/>
        <w:rPr>
          <w:shd w:val="pct10" w:color="auto" w:fill="FFFFFF"/>
        </w:rPr>
      </w:pPr>
      <w:r>
        <w:rPr>
          <w:rFonts w:hint="eastAsia" w:ascii="Times New Roman" w:hAnsi="Times New Roman"/>
          <w:kern w:val="24"/>
        </w:rPr>
        <w:t>5、《工业企业厂界环境噪声排放标准》(GB12348-2008)2类；</w:t>
      </w:r>
    </w:p>
    <w:p>
      <w:pPr>
        <w:spacing w:line="660" w:lineRule="exact"/>
        <w:ind w:firstLine="640" w:firstLineChars="200"/>
      </w:pPr>
      <w:r>
        <w:rPr>
          <w:rFonts w:hint="eastAsia"/>
        </w:rPr>
        <w:t>6、</w:t>
      </w:r>
      <w:r>
        <w:t>《污水综合排放标准》（DB12/356-2018）三级</w:t>
      </w:r>
      <w:r>
        <w:rPr>
          <w:rFonts w:hint="eastAsia"/>
        </w:rPr>
        <w:t>；</w:t>
      </w:r>
    </w:p>
    <w:p>
      <w:pPr>
        <w:pStyle w:val="7"/>
        <w:spacing w:line="660" w:lineRule="exact"/>
        <w:ind w:firstLine="662" w:firstLineChars="207"/>
        <w:rPr>
          <w:sz w:val="32"/>
          <w:szCs w:val="32"/>
        </w:rPr>
      </w:pPr>
      <w:r>
        <w:rPr>
          <w:rFonts w:hint="eastAsia"/>
          <w:sz w:val="32"/>
          <w:szCs w:val="32"/>
        </w:rPr>
        <w:t>7、</w:t>
      </w:r>
      <w:r>
        <w:rPr>
          <w:sz w:val="32"/>
          <w:szCs w:val="32"/>
        </w:rPr>
        <w:t>《危险废物贮存污染控制标准》（GB18597-2001）</w:t>
      </w:r>
      <w:r>
        <w:rPr>
          <w:rFonts w:hint="eastAsia"/>
          <w:sz w:val="32"/>
          <w:szCs w:val="32"/>
        </w:rPr>
        <w:t>及其修改单相关要求；</w:t>
      </w:r>
    </w:p>
    <w:p>
      <w:pPr>
        <w:pStyle w:val="7"/>
        <w:spacing w:line="660" w:lineRule="exact"/>
        <w:ind w:firstLine="662" w:firstLineChars="207"/>
        <w:rPr>
          <w:sz w:val="32"/>
          <w:szCs w:val="32"/>
        </w:rPr>
      </w:pPr>
      <w:r>
        <w:rPr>
          <w:rFonts w:hint="eastAsia"/>
          <w:sz w:val="32"/>
          <w:szCs w:val="32"/>
        </w:rPr>
        <w:t>8、《危险废物收集 贮存运输技术规范》（HJ2025-2012）；</w:t>
      </w:r>
    </w:p>
    <w:p>
      <w:pPr>
        <w:pStyle w:val="7"/>
        <w:spacing w:line="660" w:lineRule="exact"/>
        <w:ind w:firstLine="662" w:firstLineChars="207"/>
        <w:rPr>
          <w:sz w:val="32"/>
          <w:szCs w:val="32"/>
        </w:rPr>
      </w:pPr>
      <w:r>
        <w:rPr>
          <w:rFonts w:hint="eastAsia"/>
          <w:sz w:val="32"/>
          <w:szCs w:val="32"/>
        </w:rPr>
        <w:t>9、《一般工业固体废物贮存和填埋污染控制标准》（GB18599-2020）。</w:t>
      </w:r>
    </w:p>
    <w:p>
      <w:pPr>
        <w:pStyle w:val="7"/>
        <w:spacing w:line="660" w:lineRule="exact"/>
        <w:ind w:firstLine="662" w:firstLineChars="207"/>
        <w:rPr>
          <w:sz w:val="32"/>
          <w:szCs w:val="32"/>
        </w:rPr>
      </w:pPr>
      <w:r>
        <w:rPr>
          <w:sz w:val="32"/>
          <w:szCs w:val="32"/>
        </w:rPr>
        <w:t>此复</w:t>
      </w:r>
    </w:p>
    <w:p>
      <w:pPr>
        <w:pStyle w:val="7"/>
        <w:spacing w:line="700" w:lineRule="exact"/>
        <w:ind w:firstLine="662" w:firstLineChars="207"/>
        <w:rPr>
          <w:sz w:val="32"/>
          <w:szCs w:val="32"/>
        </w:rPr>
      </w:pPr>
    </w:p>
    <w:p>
      <w:pPr>
        <w:pStyle w:val="7"/>
        <w:spacing w:line="700" w:lineRule="exact"/>
        <w:ind w:firstLine="662" w:firstLineChars="207"/>
        <w:rPr>
          <w:sz w:val="32"/>
          <w:szCs w:val="32"/>
        </w:rPr>
      </w:pPr>
    </w:p>
    <w:p>
      <w:pPr>
        <w:pStyle w:val="7"/>
        <w:spacing w:line="700" w:lineRule="exact"/>
        <w:ind w:firstLine="662" w:firstLineChars="207"/>
        <w:rPr>
          <w:sz w:val="32"/>
          <w:szCs w:val="32"/>
        </w:rPr>
      </w:pPr>
    </w:p>
    <w:p>
      <w:pPr>
        <w:wordWrap w:val="0"/>
        <w:spacing w:line="520" w:lineRule="exact"/>
        <w:jc w:val="right"/>
      </w:pPr>
      <w:r>
        <w:rPr>
          <w:rFonts w:hint="eastAsia"/>
        </w:rPr>
        <w:t xml:space="preserve">                        </w:t>
      </w:r>
      <w:r>
        <w:t>20</w:t>
      </w:r>
      <w:r>
        <w:rPr>
          <w:rFonts w:hint="eastAsia"/>
        </w:rPr>
        <w:t>22</w:t>
      </w:r>
      <w:r>
        <w:t>年</w:t>
      </w:r>
      <w:r>
        <w:rPr>
          <w:rFonts w:hint="eastAsia"/>
        </w:rPr>
        <w:t>10</w:t>
      </w:r>
      <w:r>
        <w:t>月</w:t>
      </w:r>
      <w:r>
        <w:rPr>
          <w:rFonts w:hint="eastAsia"/>
        </w:rPr>
        <w:t>24</w:t>
      </w:r>
      <w:r>
        <w:t>日</w:t>
      </w:r>
      <w:r>
        <w:rPr>
          <w:rFonts w:hint="eastAsia"/>
        </w:rPr>
        <w:t xml:space="preserve">        </w:t>
      </w:r>
    </w:p>
    <w:p>
      <w:pPr>
        <w:spacing w:line="520" w:lineRule="exact"/>
        <w:ind w:right="640"/>
        <w:jc w:val="right"/>
      </w:pPr>
    </w:p>
    <w:p>
      <w:pPr>
        <w:spacing w:line="520" w:lineRule="exact"/>
        <w:ind w:right="640"/>
        <w:jc w:val="right"/>
      </w:pPr>
    </w:p>
    <w:p>
      <w:pPr>
        <w:spacing w:line="520" w:lineRule="exact"/>
        <w:ind w:right="640"/>
        <w:jc w:val="right"/>
      </w:pPr>
    </w:p>
    <w:p>
      <w:pPr>
        <w:spacing w:line="520" w:lineRule="exact"/>
        <w:ind w:right="640"/>
        <w:jc w:val="right"/>
      </w:pPr>
    </w:p>
    <w:p>
      <w:pPr>
        <w:spacing w:line="520" w:lineRule="exact"/>
        <w:ind w:right="640"/>
        <w:jc w:val="right"/>
      </w:pPr>
    </w:p>
    <w:p>
      <w:pPr>
        <w:spacing w:line="520" w:lineRule="exact"/>
        <w:ind w:right="640"/>
        <w:jc w:val="right"/>
      </w:pPr>
    </w:p>
    <w:p>
      <w:pPr>
        <w:spacing w:line="520" w:lineRule="exact"/>
        <w:ind w:right="640"/>
        <w:jc w:val="right"/>
      </w:pPr>
    </w:p>
    <w:p>
      <w:pPr>
        <w:spacing w:line="520" w:lineRule="exact"/>
        <w:ind w:right="640"/>
        <w:jc w:val="right"/>
      </w:pPr>
    </w:p>
    <w:p>
      <w:pPr>
        <w:spacing w:line="360" w:lineRule="exact"/>
      </w:pPr>
      <w:r>
        <w:rPr>
          <w:rFonts w:eastAsia="黑体"/>
        </w:rPr>
        <w:t>主题词：</w:t>
      </w:r>
      <w:r>
        <w:t>环境影响 报告表 批复                （共印4份）</w:t>
      </w:r>
    </w:p>
    <w:tbl>
      <w:tblPr>
        <w:tblStyle w:val="4"/>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242"/>
        <w:gridCol w:w="3922"/>
        <w:gridCol w:w="3890"/>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PrEx>
        <w:trPr>
          <w:trHeight w:val="319" w:hRule="atLeast"/>
        </w:trPr>
        <w:tc>
          <w:tcPr>
            <w:tcW w:w="1242" w:type="dxa"/>
            <w:tcBorders>
              <w:top w:val="single" w:color="auto" w:sz="8" w:space="0"/>
              <w:bottom w:val="single" w:color="auto" w:sz="8" w:space="0"/>
            </w:tcBorders>
          </w:tcPr>
          <w:p>
            <w:pPr>
              <w:spacing w:line="360" w:lineRule="exact"/>
              <w:ind w:right="160"/>
              <w:jc w:val="right"/>
              <w:rPr>
                <w:rFonts w:eastAsia="黑体"/>
              </w:rPr>
            </w:pPr>
            <w:r>
              <w:rPr>
                <w:rFonts w:eastAsia="黑体"/>
              </w:rPr>
              <w:t>抄送：</w:t>
            </w:r>
          </w:p>
        </w:tc>
        <w:tc>
          <w:tcPr>
            <w:tcW w:w="7812" w:type="dxa"/>
            <w:gridSpan w:val="2"/>
            <w:tcBorders>
              <w:top w:val="single" w:color="auto" w:sz="8" w:space="0"/>
              <w:bottom w:val="single" w:color="auto" w:sz="8" w:space="0"/>
            </w:tcBorders>
          </w:tcPr>
          <w:p>
            <w:pPr>
              <w:spacing w:line="360" w:lineRule="exact"/>
            </w:pPr>
            <w:r>
              <w:t>天津市滨海新区</w:t>
            </w:r>
            <w:r>
              <w:rPr>
                <w:rFonts w:hint="eastAsia"/>
              </w:rPr>
              <w:t>生态</w:t>
            </w:r>
            <w:r>
              <w:t>环境局</w:t>
            </w:r>
          </w:p>
        </w:tc>
      </w:tr>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PrEx>
        <w:trPr>
          <w:trHeight w:val="567" w:hRule="atLeast"/>
        </w:trPr>
        <w:tc>
          <w:tcPr>
            <w:tcW w:w="5164" w:type="dxa"/>
            <w:gridSpan w:val="2"/>
            <w:tcBorders>
              <w:top w:val="single" w:color="auto" w:sz="8" w:space="0"/>
            </w:tcBorders>
          </w:tcPr>
          <w:p>
            <w:pPr>
              <w:spacing w:line="360" w:lineRule="exact"/>
            </w:pPr>
            <w:r>
              <w:rPr>
                <w:rFonts w:hint="eastAsia"/>
              </w:rPr>
              <w:t>天津市滨海新区行政审批局</w:t>
            </w:r>
          </w:p>
        </w:tc>
        <w:tc>
          <w:tcPr>
            <w:tcW w:w="3890" w:type="dxa"/>
            <w:tcBorders>
              <w:top w:val="single" w:color="auto" w:sz="8" w:space="0"/>
            </w:tcBorders>
          </w:tcPr>
          <w:p>
            <w:pPr>
              <w:spacing w:line="360" w:lineRule="exact"/>
              <w:ind w:right="320" w:rightChars="100"/>
              <w:jc w:val="right"/>
            </w:pPr>
            <w:r>
              <w:t>20</w:t>
            </w:r>
            <w:r>
              <w:rPr>
                <w:rFonts w:hint="eastAsia"/>
              </w:rPr>
              <w:t>22</w:t>
            </w:r>
            <w:r>
              <w:t>年</w:t>
            </w:r>
            <w:r>
              <w:rPr>
                <w:rFonts w:hint="eastAsia"/>
              </w:rPr>
              <w:t>10月24</w:t>
            </w:r>
            <w:r>
              <w:t>日印发</w:t>
            </w:r>
          </w:p>
        </w:tc>
      </w:tr>
    </w:tbl>
    <w:p>
      <w:pPr>
        <w:spacing w:line="360" w:lineRule="exact"/>
      </w:pPr>
    </w:p>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3BE4BB-6278-4A78-8498-AE5D4E515A0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F088352-A31A-4A4A-A3B6-74896345120E}"/>
  </w:font>
  <w:font w:name="仿宋_GB2312">
    <w:altName w:val="仿宋"/>
    <w:panose1 w:val="02010609030101010101"/>
    <w:charset w:val="86"/>
    <w:family w:val="modern"/>
    <w:pitch w:val="default"/>
    <w:sig w:usb0="00000000" w:usb1="00000000" w:usb2="00000010" w:usb3="00000000" w:csb0="00040000" w:csb1="00000000"/>
    <w:embedRegular r:id="rId3" w:fontKey="{A7751C4D-11FA-4687-9CBE-850CAA9C369D}"/>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6650AB97-9CA4-4B71-A788-35A9611843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dmMzczYjBjMmJhNGRiMmFkNjFhZDFhZGQxZTEzNzQifQ=="/>
  </w:docVars>
  <w:rsids>
    <w:rsidRoot w:val="005E4B9D"/>
    <w:rsid w:val="000000ED"/>
    <w:rsid w:val="00005129"/>
    <w:rsid w:val="00017EFA"/>
    <w:rsid w:val="00021047"/>
    <w:rsid w:val="00027F7A"/>
    <w:rsid w:val="00032953"/>
    <w:rsid w:val="000345CD"/>
    <w:rsid w:val="00042F70"/>
    <w:rsid w:val="000451A7"/>
    <w:rsid w:val="000453B7"/>
    <w:rsid w:val="000548CC"/>
    <w:rsid w:val="00062FED"/>
    <w:rsid w:val="000634F1"/>
    <w:rsid w:val="00063BE2"/>
    <w:rsid w:val="000657B0"/>
    <w:rsid w:val="00077056"/>
    <w:rsid w:val="00077ADA"/>
    <w:rsid w:val="00080A98"/>
    <w:rsid w:val="00085EF5"/>
    <w:rsid w:val="0008666F"/>
    <w:rsid w:val="00091C2C"/>
    <w:rsid w:val="000931B0"/>
    <w:rsid w:val="000931CA"/>
    <w:rsid w:val="0009352D"/>
    <w:rsid w:val="00097DA8"/>
    <w:rsid w:val="000D45D0"/>
    <w:rsid w:val="000D754B"/>
    <w:rsid w:val="000E069B"/>
    <w:rsid w:val="000E209C"/>
    <w:rsid w:val="000F7EEF"/>
    <w:rsid w:val="001040CF"/>
    <w:rsid w:val="0011736F"/>
    <w:rsid w:val="00127AE7"/>
    <w:rsid w:val="00154AA1"/>
    <w:rsid w:val="00155A9A"/>
    <w:rsid w:val="001602A8"/>
    <w:rsid w:val="00162464"/>
    <w:rsid w:val="001708D6"/>
    <w:rsid w:val="001815AE"/>
    <w:rsid w:val="00185818"/>
    <w:rsid w:val="0019193B"/>
    <w:rsid w:val="001A21BB"/>
    <w:rsid w:val="001B066E"/>
    <w:rsid w:val="001C0D5B"/>
    <w:rsid w:val="001C71C4"/>
    <w:rsid w:val="001D479B"/>
    <w:rsid w:val="001D55C1"/>
    <w:rsid w:val="001E44A6"/>
    <w:rsid w:val="001F3EDC"/>
    <w:rsid w:val="002014D5"/>
    <w:rsid w:val="00203B29"/>
    <w:rsid w:val="002102C7"/>
    <w:rsid w:val="00210B83"/>
    <w:rsid w:val="0021630A"/>
    <w:rsid w:val="0024430E"/>
    <w:rsid w:val="00261B2D"/>
    <w:rsid w:val="00262308"/>
    <w:rsid w:val="0027460C"/>
    <w:rsid w:val="00275DD8"/>
    <w:rsid w:val="00282601"/>
    <w:rsid w:val="002858A4"/>
    <w:rsid w:val="00292B28"/>
    <w:rsid w:val="002A2C3C"/>
    <w:rsid w:val="002A61D2"/>
    <w:rsid w:val="002A6EBE"/>
    <w:rsid w:val="002B607C"/>
    <w:rsid w:val="002D2E2A"/>
    <w:rsid w:val="002D4DA6"/>
    <w:rsid w:val="002D545C"/>
    <w:rsid w:val="002D7082"/>
    <w:rsid w:val="002E319B"/>
    <w:rsid w:val="002E401B"/>
    <w:rsid w:val="002E692F"/>
    <w:rsid w:val="002E747F"/>
    <w:rsid w:val="00310B46"/>
    <w:rsid w:val="003276C0"/>
    <w:rsid w:val="00330A22"/>
    <w:rsid w:val="00346E41"/>
    <w:rsid w:val="0035249E"/>
    <w:rsid w:val="003631B1"/>
    <w:rsid w:val="00371D93"/>
    <w:rsid w:val="00373B1A"/>
    <w:rsid w:val="00374E8D"/>
    <w:rsid w:val="00380065"/>
    <w:rsid w:val="00395C48"/>
    <w:rsid w:val="003A0AF9"/>
    <w:rsid w:val="003A397F"/>
    <w:rsid w:val="003A3EBD"/>
    <w:rsid w:val="003C657C"/>
    <w:rsid w:val="003D7B4C"/>
    <w:rsid w:val="003E053A"/>
    <w:rsid w:val="003E18B7"/>
    <w:rsid w:val="0040020E"/>
    <w:rsid w:val="00400DD2"/>
    <w:rsid w:val="00404088"/>
    <w:rsid w:val="0041139B"/>
    <w:rsid w:val="004206D8"/>
    <w:rsid w:val="0042398D"/>
    <w:rsid w:val="00427887"/>
    <w:rsid w:val="004312E2"/>
    <w:rsid w:val="00431B4A"/>
    <w:rsid w:val="00435238"/>
    <w:rsid w:val="00447B9B"/>
    <w:rsid w:val="00475631"/>
    <w:rsid w:val="004831E2"/>
    <w:rsid w:val="00495B78"/>
    <w:rsid w:val="004963AE"/>
    <w:rsid w:val="004969DE"/>
    <w:rsid w:val="004A5EF1"/>
    <w:rsid w:val="004A5F7D"/>
    <w:rsid w:val="004B1790"/>
    <w:rsid w:val="004B1B4C"/>
    <w:rsid w:val="004B1D77"/>
    <w:rsid w:val="004B3BF4"/>
    <w:rsid w:val="004B6554"/>
    <w:rsid w:val="004B6CF6"/>
    <w:rsid w:val="004D5384"/>
    <w:rsid w:val="00503728"/>
    <w:rsid w:val="00514D56"/>
    <w:rsid w:val="005154D8"/>
    <w:rsid w:val="00520063"/>
    <w:rsid w:val="00535942"/>
    <w:rsid w:val="005413E6"/>
    <w:rsid w:val="005537B6"/>
    <w:rsid w:val="00571193"/>
    <w:rsid w:val="00580F91"/>
    <w:rsid w:val="00585C74"/>
    <w:rsid w:val="00585DE1"/>
    <w:rsid w:val="005860F7"/>
    <w:rsid w:val="00597D45"/>
    <w:rsid w:val="005A58A9"/>
    <w:rsid w:val="005A6D2D"/>
    <w:rsid w:val="005B1982"/>
    <w:rsid w:val="005B2AAF"/>
    <w:rsid w:val="005B3531"/>
    <w:rsid w:val="005C641A"/>
    <w:rsid w:val="005D14A8"/>
    <w:rsid w:val="005D7258"/>
    <w:rsid w:val="005E0D1B"/>
    <w:rsid w:val="005E1F3E"/>
    <w:rsid w:val="005E4B9D"/>
    <w:rsid w:val="005F2674"/>
    <w:rsid w:val="005F28FD"/>
    <w:rsid w:val="005F3FC6"/>
    <w:rsid w:val="005F4F6F"/>
    <w:rsid w:val="005F713B"/>
    <w:rsid w:val="00611936"/>
    <w:rsid w:val="0061619F"/>
    <w:rsid w:val="006352A4"/>
    <w:rsid w:val="00635419"/>
    <w:rsid w:val="0063707F"/>
    <w:rsid w:val="00637D80"/>
    <w:rsid w:val="00641676"/>
    <w:rsid w:val="00644BE7"/>
    <w:rsid w:val="00645767"/>
    <w:rsid w:val="0065312E"/>
    <w:rsid w:val="00660EAC"/>
    <w:rsid w:val="006618CE"/>
    <w:rsid w:val="00672AB5"/>
    <w:rsid w:val="00673A5F"/>
    <w:rsid w:val="006814DD"/>
    <w:rsid w:val="00687F41"/>
    <w:rsid w:val="0069481E"/>
    <w:rsid w:val="006952E6"/>
    <w:rsid w:val="006A3C27"/>
    <w:rsid w:val="006A3CA1"/>
    <w:rsid w:val="006B0572"/>
    <w:rsid w:val="006B3C74"/>
    <w:rsid w:val="006C5EDA"/>
    <w:rsid w:val="006C666D"/>
    <w:rsid w:val="006C6966"/>
    <w:rsid w:val="006C7509"/>
    <w:rsid w:val="006D0535"/>
    <w:rsid w:val="006D323D"/>
    <w:rsid w:val="006E6894"/>
    <w:rsid w:val="006F68B5"/>
    <w:rsid w:val="006F70A3"/>
    <w:rsid w:val="006F7C55"/>
    <w:rsid w:val="006F7C96"/>
    <w:rsid w:val="0070112D"/>
    <w:rsid w:val="007148F8"/>
    <w:rsid w:val="00722B21"/>
    <w:rsid w:val="00723175"/>
    <w:rsid w:val="00723B07"/>
    <w:rsid w:val="00726C81"/>
    <w:rsid w:val="0073526A"/>
    <w:rsid w:val="00745C96"/>
    <w:rsid w:val="00746C49"/>
    <w:rsid w:val="00756A6B"/>
    <w:rsid w:val="00764376"/>
    <w:rsid w:val="0076746E"/>
    <w:rsid w:val="0077289E"/>
    <w:rsid w:val="00783770"/>
    <w:rsid w:val="007838F6"/>
    <w:rsid w:val="00785125"/>
    <w:rsid w:val="00790CC1"/>
    <w:rsid w:val="007937C9"/>
    <w:rsid w:val="007A22B2"/>
    <w:rsid w:val="007A42BF"/>
    <w:rsid w:val="007C0570"/>
    <w:rsid w:val="007C49A0"/>
    <w:rsid w:val="007C5CCE"/>
    <w:rsid w:val="007F3514"/>
    <w:rsid w:val="007F3A11"/>
    <w:rsid w:val="007F3BEB"/>
    <w:rsid w:val="007F45F1"/>
    <w:rsid w:val="007F7F4B"/>
    <w:rsid w:val="00813E40"/>
    <w:rsid w:val="00835BB7"/>
    <w:rsid w:val="00836613"/>
    <w:rsid w:val="00840B59"/>
    <w:rsid w:val="00854762"/>
    <w:rsid w:val="008610DF"/>
    <w:rsid w:val="0088082E"/>
    <w:rsid w:val="00880ACF"/>
    <w:rsid w:val="0089128F"/>
    <w:rsid w:val="008B3585"/>
    <w:rsid w:val="008B64A3"/>
    <w:rsid w:val="008B7F60"/>
    <w:rsid w:val="008E337A"/>
    <w:rsid w:val="008E7A7C"/>
    <w:rsid w:val="00901C76"/>
    <w:rsid w:val="00904C11"/>
    <w:rsid w:val="00915B0E"/>
    <w:rsid w:val="009329D7"/>
    <w:rsid w:val="00932A5B"/>
    <w:rsid w:val="0093523F"/>
    <w:rsid w:val="009405B8"/>
    <w:rsid w:val="00943995"/>
    <w:rsid w:val="00951076"/>
    <w:rsid w:val="0095580B"/>
    <w:rsid w:val="00956DC8"/>
    <w:rsid w:val="00960614"/>
    <w:rsid w:val="00962EEA"/>
    <w:rsid w:val="00971CA7"/>
    <w:rsid w:val="00975A90"/>
    <w:rsid w:val="00981CCC"/>
    <w:rsid w:val="00983896"/>
    <w:rsid w:val="009876B6"/>
    <w:rsid w:val="00993DDE"/>
    <w:rsid w:val="009A01DB"/>
    <w:rsid w:val="009A26A1"/>
    <w:rsid w:val="009A38D1"/>
    <w:rsid w:val="009A6638"/>
    <w:rsid w:val="009B3B1A"/>
    <w:rsid w:val="009C2978"/>
    <w:rsid w:val="009D0145"/>
    <w:rsid w:val="009D27F7"/>
    <w:rsid w:val="009D43FD"/>
    <w:rsid w:val="009D5CD3"/>
    <w:rsid w:val="009E34EE"/>
    <w:rsid w:val="00A05A9B"/>
    <w:rsid w:val="00A05B04"/>
    <w:rsid w:val="00A144E3"/>
    <w:rsid w:val="00A16B2F"/>
    <w:rsid w:val="00A17D40"/>
    <w:rsid w:val="00A240F7"/>
    <w:rsid w:val="00A270E7"/>
    <w:rsid w:val="00A373B9"/>
    <w:rsid w:val="00A46A05"/>
    <w:rsid w:val="00A47243"/>
    <w:rsid w:val="00A51802"/>
    <w:rsid w:val="00A6581B"/>
    <w:rsid w:val="00A820B7"/>
    <w:rsid w:val="00A84BFF"/>
    <w:rsid w:val="00A87B33"/>
    <w:rsid w:val="00A87B5F"/>
    <w:rsid w:val="00A947C4"/>
    <w:rsid w:val="00AA23AE"/>
    <w:rsid w:val="00AA52FC"/>
    <w:rsid w:val="00AB1BC3"/>
    <w:rsid w:val="00AB5754"/>
    <w:rsid w:val="00AB6CFA"/>
    <w:rsid w:val="00AD0CB6"/>
    <w:rsid w:val="00AD4B10"/>
    <w:rsid w:val="00AD5519"/>
    <w:rsid w:val="00AD7E0F"/>
    <w:rsid w:val="00AE2071"/>
    <w:rsid w:val="00AE2FBB"/>
    <w:rsid w:val="00AE3626"/>
    <w:rsid w:val="00AE466E"/>
    <w:rsid w:val="00AF1EA3"/>
    <w:rsid w:val="00AF451D"/>
    <w:rsid w:val="00AF6F47"/>
    <w:rsid w:val="00B01A96"/>
    <w:rsid w:val="00B02152"/>
    <w:rsid w:val="00B067C2"/>
    <w:rsid w:val="00B06C6D"/>
    <w:rsid w:val="00B13FB6"/>
    <w:rsid w:val="00B271C1"/>
    <w:rsid w:val="00B31641"/>
    <w:rsid w:val="00B37379"/>
    <w:rsid w:val="00B56AAE"/>
    <w:rsid w:val="00B57588"/>
    <w:rsid w:val="00B70DC0"/>
    <w:rsid w:val="00B739DA"/>
    <w:rsid w:val="00B7639D"/>
    <w:rsid w:val="00B84011"/>
    <w:rsid w:val="00B91E96"/>
    <w:rsid w:val="00BA02E4"/>
    <w:rsid w:val="00BA188D"/>
    <w:rsid w:val="00BA2BC4"/>
    <w:rsid w:val="00BA2C98"/>
    <w:rsid w:val="00BC1A3F"/>
    <w:rsid w:val="00BD70C1"/>
    <w:rsid w:val="00BE38C8"/>
    <w:rsid w:val="00BE56E3"/>
    <w:rsid w:val="00BE7DCC"/>
    <w:rsid w:val="00BF5079"/>
    <w:rsid w:val="00BF708D"/>
    <w:rsid w:val="00BF77C8"/>
    <w:rsid w:val="00C2482D"/>
    <w:rsid w:val="00C24C19"/>
    <w:rsid w:val="00C26759"/>
    <w:rsid w:val="00C3090B"/>
    <w:rsid w:val="00C572DE"/>
    <w:rsid w:val="00C71D07"/>
    <w:rsid w:val="00C74B54"/>
    <w:rsid w:val="00C76135"/>
    <w:rsid w:val="00C76B70"/>
    <w:rsid w:val="00C821D2"/>
    <w:rsid w:val="00C83698"/>
    <w:rsid w:val="00C93BD6"/>
    <w:rsid w:val="00C946CA"/>
    <w:rsid w:val="00CD60AB"/>
    <w:rsid w:val="00CE3A5A"/>
    <w:rsid w:val="00CE50C2"/>
    <w:rsid w:val="00CE727D"/>
    <w:rsid w:val="00CE7D57"/>
    <w:rsid w:val="00CF2E32"/>
    <w:rsid w:val="00D04168"/>
    <w:rsid w:val="00D04F81"/>
    <w:rsid w:val="00D07CB4"/>
    <w:rsid w:val="00D2190F"/>
    <w:rsid w:val="00D23537"/>
    <w:rsid w:val="00D43EFC"/>
    <w:rsid w:val="00D5178D"/>
    <w:rsid w:val="00D52B0E"/>
    <w:rsid w:val="00D60F28"/>
    <w:rsid w:val="00D74BAE"/>
    <w:rsid w:val="00D92D22"/>
    <w:rsid w:val="00D949FB"/>
    <w:rsid w:val="00D950F8"/>
    <w:rsid w:val="00DA353D"/>
    <w:rsid w:val="00DB4BBF"/>
    <w:rsid w:val="00DB6BDB"/>
    <w:rsid w:val="00DC203A"/>
    <w:rsid w:val="00DC4A11"/>
    <w:rsid w:val="00DD25A3"/>
    <w:rsid w:val="00DE6716"/>
    <w:rsid w:val="00DE780B"/>
    <w:rsid w:val="00DF4F33"/>
    <w:rsid w:val="00E01196"/>
    <w:rsid w:val="00E07241"/>
    <w:rsid w:val="00E163F4"/>
    <w:rsid w:val="00E2178A"/>
    <w:rsid w:val="00E22F90"/>
    <w:rsid w:val="00E2523D"/>
    <w:rsid w:val="00E312EA"/>
    <w:rsid w:val="00E504D9"/>
    <w:rsid w:val="00E574A1"/>
    <w:rsid w:val="00E63B55"/>
    <w:rsid w:val="00E7111F"/>
    <w:rsid w:val="00E73A6B"/>
    <w:rsid w:val="00E74BCF"/>
    <w:rsid w:val="00E765CB"/>
    <w:rsid w:val="00E76CAF"/>
    <w:rsid w:val="00E805A6"/>
    <w:rsid w:val="00E821A2"/>
    <w:rsid w:val="00E9501E"/>
    <w:rsid w:val="00E95586"/>
    <w:rsid w:val="00EA7883"/>
    <w:rsid w:val="00EB5301"/>
    <w:rsid w:val="00EB70C1"/>
    <w:rsid w:val="00EC51BA"/>
    <w:rsid w:val="00EE1F06"/>
    <w:rsid w:val="00EE2771"/>
    <w:rsid w:val="00F142DC"/>
    <w:rsid w:val="00F14DE5"/>
    <w:rsid w:val="00F20059"/>
    <w:rsid w:val="00F2273C"/>
    <w:rsid w:val="00F32BA5"/>
    <w:rsid w:val="00F331BC"/>
    <w:rsid w:val="00F44931"/>
    <w:rsid w:val="00F452D7"/>
    <w:rsid w:val="00F45431"/>
    <w:rsid w:val="00F51346"/>
    <w:rsid w:val="00F62653"/>
    <w:rsid w:val="00F74308"/>
    <w:rsid w:val="00F75867"/>
    <w:rsid w:val="00F85504"/>
    <w:rsid w:val="00FD223C"/>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0161B2C"/>
    <w:rsid w:val="76817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99"/>
    <w:rPr>
      <w:rFonts w:eastAsia="仿宋_GB2312"/>
      <w:kern w:val="2"/>
      <w:sz w:val="18"/>
      <w:szCs w:val="18"/>
    </w:rPr>
  </w:style>
  <w:style w:type="paragraph" w:customStyle="1" w:styleId="7">
    <w:name w:val="中文报告书样式"/>
    <w:basedOn w:val="1"/>
    <w:link w:val="8"/>
    <w:uiPriority w:val="0"/>
    <w:pPr>
      <w:adjustRightInd w:val="0"/>
      <w:spacing w:line="420" w:lineRule="atLeast"/>
      <w:jc w:val="left"/>
      <w:textAlignment w:val="baseline"/>
    </w:pPr>
    <w:rPr>
      <w:rFonts w:ascii="Times New Roman" w:hAnsi="Times New Roman"/>
      <w:kern w:val="24"/>
      <w:sz w:val="24"/>
      <w:szCs w:val="20"/>
    </w:rPr>
  </w:style>
  <w:style w:type="character" w:customStyle="1" w:styleId="8">
    <w:name w:val="中文报告书样式 Char1"/>
    <w:basedOn w:val="5"/>
    <w:link w:val="7"/>
    <w:locked/>
    <w:uiPriority w:val="0"/>
    <w:rPr>
      <w:rFonts w:ascii="Times New Roman" w:hAnsi="Times New Roman" w:eastAsia="仿宋_GB2312"/>
      <w:kern w:val="24"/>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1403</Words>
  <Characters>1617</Characters>
  <Lines>2</Lines>
  <Paragraphs>3</Paragraphs>
  <TotalTime>0</TotalTime>
  <ScaleCrop>false</ScaleCrop>
  <LinksUpToDate>false</LinksUpToDate>
  <CharactersWithSpaces>1670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2022-10-31T01:27:00Z</dcterms:created>
  <dc:creator>Administrator</dc:creator>
  <cp:lastModifiedBy>北大港湿地环保卫士</cp:lastModifiedBy>
  <cp:lastPrinted>2022-09-07T02:50:00Z</cp:lastPrinted>
  <dcterms:modified xsi:type="dcterms:W3CDTF">2022-10-31T01:36:47Z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4B4564F3CC4747E691F5DC3401569835</vt:lpwstr>
  </property>
</Properties>
</file>