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津滨审批二室准〔20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pStyle w:val="12"/>
        <w:spacing w:line="580" w:lineRule="exact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default" w:ascii="方正小标宋简体" w:hAnsi="宋体" w:eastAsia="方正小标宋简体"/>
          <w:color w:val="000000"/>
          <w:sz w:val="44"/>
          <w:lang w:val="en" w:eastAsia="zh-CN"/>
        </w:rPr>
      </w:pPr>
      <w:r>
        <w:rPr>
          <w:rFonts w:hint="eastAsia" w:ascii="方正小标宋简体" w:hAnsi="宋体" w:eastAsia="方正小标宋简体"/>
          <w:color w:val="000000"/>
          <w:sz w:val="44"/>
        </w:rPr>
        <w:t>关于</w:t>
      </w:r>
      <w:r>
        <w:rPr>
          <w:rFonts w:hint="default" w:ascii="方正小标宋简体" w:hAnsi="宋体" w:eastAsia="方正小标宋简体"/>
          <w:color w:val="000000"/>
          <w:sz w:val="44"/>
          <w:lang w:val="en" w:eastAsia="zh-CN"/>
        </w:rPr>
        <w:t>天津滨海新区新开南路加油站有限公司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ascii="方正小标宋简体" w:hAnsi="宋体" w:eastAsia="方正小标宋简体"/>
          <w:color w:val="000000"/>
          <w:sz w:val="44"/>
        </w:rPr>
      </w:pPr>
      <w:r>
        <w:rPr>
          <w:rFonts w:hint="default" w:ascii="方正小标宋简体" w:hAnsi="宋体" w:eastAsia="方正小标宋简体"/>
          <w:color w:val="000000"/>
          <w:sz w:val="44"/>
          <w:lang w:val="en" w:eastAsia="zh-CN"/>
        </w:rPr>
        <w:t>改扩建项目</w:t>
      </w:r>
      <w:r>
        <w:rPr>
          <w:rFonts w:hint="eastAsia" w:ascii="方正小标宋简体" w:hAnsi="宋体" w:eastAsia="方正小标宋简体"/>
          <w:color w:val="000000"/>
          <w:sz w:val="44"/>
        </w:rPr>
        <w:t>环境影响报告表</w:t>
      </w:r>
      <w:r>
        <w:rPr>
          <w:rFonts w:ascii="方正小标宋简体" w:hAnsi="宋体" w:eastAsia="方正小标宋简体"/>
          <w:color w:val="000000"/>
          <w:sz w:val="44"/>
        </w:rPr>
        <w:t>的批复</w:t>
      </w:r>
    </w:p>
    <w:p>
      <w:pPr>
        <w:spacing w:line="0" w:lineRule="atLeast"/>
        <w:jc w:val="center"/>
        <w:rPr>
          <w:rFonts w:ascii="宋体" w:hAnsi="宋体"/>
          <w:b/>
          <w:color w:val="000000"/>
          <w:sz w:val="21"/>
          <w:szCs w:val="21"/>
        </w:rPr>
      </w:pP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天津滨海新区新开南路加油站有限公司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你公司</w:t>
      </w:r>
      <w:r>
        <w:rPr>
          <w:rFonts w:eastAsia="仿宋_GB2312"/>
          <w:sz w:val="32"/>
          <w:szCs w:val="32"/>
        </w:rPr>
        <w:t>呈</w:t>
      </w:r>
      <w:r>
        <w:rPr>
          <w:rFonts w:hint="eastAsia" w:eastAsia="仿宋_GB2312"/>
          <w:sz w:val="32"/>
          <w:szCs w:val="32"/>
          <w:lang w:eastAsia="zh-CN"/>
        </w:rPr>
        <w:t>报的《关于</w:t>
      </w:r>
      <w:r>
        <w:rPr>
          <w:rFonts w:hint="default" w:eastAsia="仿宋_GB2312"/>
          <w:sz w:val="32"/>
          <w:szCs w:val="32"/>
          <w:lang w:val="en" w:eastAsia="zh-CN"/>
        </w:rPr>
        <w:t>天津滨海新区新开南路加油站有限公司改扩建项目</w:t>
      </w:r>
      <w:r>
        <w:rPr>
          <w:rFonts w:hint="eastAsia" w:eastAsia="仿宋_GB2312"/>
          <w:sz w:val="32"/>
          <w:szCs w:val="32"/>
          <w:lang w:eastAsia="zh-CN"/>
        </w:rPr>
        <w:t>的申请》、天津科理环境科技有限公司</w:t>
      </w:r>
      <w:r>
        <w:rPr>
          <w:rFonts w:eastAsia="仿宋_GB2312"/>
          <w:sz w:val="32"/>
          <w:szCs w:val="32"/>
        </w:rPr>
        <w:t>《</w:t>
      </w:r>
      <w:r>
        <w:rPr>
          <w:rFonts w:hint="default" w:eastAsia="仿宋_GB2312"/>
          <w:sz w:val="32"/>
          <w:szCs w:val="32"/>
          <w:lang w:val="en" w:eastAsia="zh-CN"/>
        </w:rPr>
        <w:t>天津滨海新区新开南路加油站有限公司改扩建项目</w:t>
      </w:r>
      <w:r>
        <w:rPr>
          <w:rFonts w:hint="eastAsia" w:eastAsia="仿宋_GB2312"/>
          <w:sz w:val="32"/>
          <w:szCs w:val="32"/>
          <w:lang w:eastAsia="zh-CN"/>
        </w:rPr>
        <w:t>环境影响报告表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及其</w:t>
      </w:r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eastAsia="仿宋_GB2312"/>
          <w:sz w:val="32"/>
          <w:szCs w:val="32"/>
        </w:rPr>
        <w:t>收悉。经研究，现批复如下：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一、新开南路加油站始建于2010年，</w:t>
      </w:r>
      <w:r>
        <w:rPr>
          <w:rFonts w:hint="eastAsia" w:eastAsia="仿宋_GB2312"/>
          <w:sz w:val="32"/>
          <w:szCs w:val="32"/>
          <w:lang w:eastAsia="zh-CN"/>
        </w:rPr>
        <w:t>位于滨海新区寨上街新开南路</w:t>
      </w:r>
      <w:r>
        <w:rPr>
          <w:rFonts w:hint="eastAsia" w:eastAsia="仿宋_GB2312"/>
          <w:sz w:val="32"/>
          <w:szCs w:val="32"/>
          <w:lang w:val="en-US" w:eastAsia="zh-CN"/>
        </w:rPr>
        <w:t>126号，2018年完成了环境保护验收。2020年你公司对该加油站进行了改扩建，改建内容为：拆除现有的两座20立方米汽油储罐和三座20立方米柴油储罐，新设四座30立方米地埋式双层汽油储罐和一座30立方米地埋式双层柴油储罐；加油机由原有的四台双枪加油机、两台四枪加油机改造为一台6枪柴油加油机、三台6枪汽油加油机、两台4枪汽油加油机。项目建成后，汽油加油规模为7200吨/年、柴油加油规模为1800吨/年。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目总投资200万元，环保投资34万元，约占投资总额的17%。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该项目未履行环评审批手续</w:t>
      </w:r>
      <w:r>
        <w:rPr>
          <w:rFonts w:hint="eastAsia" w:eastAsia="仿宋_GB2312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关于建设项目未批先建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违法行为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法律适用问题的意见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》（环政法函〔2018〕31号），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委托编制了环境影响报告，报送我局审查。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日，我局将该项目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环评报告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受理情况进行公示；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月3日至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日，将该项目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环评报告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拟批复情况进行公示；根据公众反馈意见情况及环评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报告结论，在严格落实环评报告所提出的各项污染防治措施、确保各类污染物稳定达标的前提下，项目</w:t>
      </w:r>
      <w:r>
        <w:rPr>
          <w:rFonts w:hint="eastAsia" w:eastAsia="仿宋_GB2312" w:cs="Times New Roman"/>
          <w:sz w:val="32"/>
          <w:szCs w:val="32"/>
          <w:lang w:eastAsia="zh-CN"/>
        </w:rPr>
        <w:t>具备环境可行性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eastAsia="仿宋_GB2312" w:cs="Times New Roman"/>
          <w:sz w:val="32"/>
          <w:szCs w:val="32"/>
          <w:lang w:eastAsia="zh-CN"/>
        </w:rPr>
        <w:t>你公司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应重点做好以下工作：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baseline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sz w:val="32"/>
          <w:szCs w:val="32"/>
        </w:rPr>
        <w:t>1</w:t>
      </w:r>
      <w:r>
        <w:rPr>
          <w:rFonts w:hint="eastAsia" w:ascii="Times New Roman" w:hAnsi="Times New Roman" w:eastAsia="仿宋_GB2312"/>
          <w:bCs/>
          <w:sz w:val="32"/>
          <w:szCs w:val="32"/>
        </w:rPr>
        <w:t>.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卸油过程中产生的废气通过油气回收系统返回至油罐车内，不外排；汽油</w:t>
      </w:r>
      <w:r>
        <w:rPr>
          <w:rFonts w:hint="eastAsia" w:ascii="Times New Roman" w:hAnsi="Times New Roman" w:eastAsia="仿宋_GB2312"/>
          <w:bCs/>
          <w:sz w:val="32"/>
          <w:szCs w:val="32"/>
        </w:rPr>
        <w:t>加油过程</w:t>
      </w:r>
      <w:r>
        <w:rPr>
          <w:rFonts w:ascii="Times New Roman" w:hAnsi="Times New Roman" w:eastAsia="仿宋_GB2312"/>
          <w:bCs/>
          <w:sz w:val="32"/>
          <w:szCs w:val="32"/>
        </w:rPr>
        <w:t>产生的废气经收集</w:t>
      </w:r>
      <w:r>
        <w:rPr>
          <w:rFonts w:hint="eastAsia" w:eastAsia="仿宋_GB2312"/>
          <w:bCs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返回汽油储罐，储罐呼吸气</w:t>
      </w:r>
      <w:r>
        <w:rPr>
          <w:rFonts w:ascii="Times New Roman" w:hAnsi="Times New Roman" w:eastAsia="仿宋_GB2312"/>
          <w:bCs/>
          <w:sz w:val="32"/>
          <w:szCs w:val="32"/>
        </w:rPr>
        <w:t>进入</w:t>
      </w:r>
      <w:r>
        <w:rPr>
          <w:rFonts w:hint="eastAsia" w:ascii="Times New Roman" w:hAnsi="Times New Roman" w:eastAsia="仿宋_GB2312"/>
          <w:bCs/>
          <w:sz w:val="32"/>
          <w:szCs w:val="32"/>
        </w:rPr>
        <w:t>现有一</w:t>
      </w:r>
      <w:r>
        <w:rPr>
          <w:rFonts w:ascii="Times New Roman" w:hAnsi="Times New Roman" w:eastAsia="仿宋_GB2312"/>
          <w:bCs/>
          <w:sz w:val="32"/>
          <w:szCs w:val="32"/>
        </w:rPr>
        <w:t>套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膜式冷凝油气液化回收</w:t>
      </w:r>
      <w:r>
        <w:rPr>
          <w:rFonts w:ascii="Times New Roman" w:hAnsi="Times New Roman" w:eastAsia="仿宋_GB2312"/>
          <w:bCs/>
          <w:sz w:val="32"/>
          <w:szCs w:val="32"/>
        </w:rPr>
        <w:t>装置，处理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达标后</w:t>
      </w:r>
      <w:r>
        <w:rPr>
          <w:rFonts w:ascii="Times New Roman" w:hAnsi="Times New Roman" w:eastAsia="仿宋_GB2312"/>
          <w:bCs/>
          <w:sz w:val="32"/>
          <w:szCs w:val="32"/>
        </w:rPr>
        <w:t>由</w:t>
      </w:r>
      <w:r>
        <w:rPr>
          <w:rFonts w:hint="eastAsia" w:ascii="Times New Roman" w:hAnsi="Times New Roman" w:eastAsia="仿宋_GB2312"/>
          <w:bCs/>
          <w:sz w:val="32"/>
          <w:szCs w:val="32"/>
        </w:rPr>
        <w:t>现有</w:t>
      </w:r>
      <w:r>
        <w:rPr>
          <w:rFonts w:hint="eastAsia" w:eastAsia="仿宋_GB2312"/>
          <w:bCs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/>
          <w:bCs/>
          <w:sz w:val="32"/>
          <w:szCs w:val="32"/>
        </w:rPr>
        <w:t>根</w:t>
      </w:r>
      <w:r>
        <w:rPr>
          <w:rFonts w:hint="eastAsia" w:ascii="Times New Roman" w:hAnsi="Times New Roman" w:eastAsia="仿宋_GB2312"/>
          <w:bCs/>
          <w:sz w:val="32"/>
          <w:szCs w:val="32"/>
        </w:rPr>
        <w:t>4米</w:t>
      </w:r>
      <w:r>
        <w:rPr>
          <w:rFonts w:ascii="Times New Roman" w:hAnsi="Times New Roman" w:eastAsia="仿宋_GB2312"/>
          <w:bCs/>
          <w:sz w:val="32"/>
          <w:szCs w:val="32"/>
        </w:rPr>
        <w:t>高排气筒排放。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仿宋_GB2312"/>
          <w:bCs/>
          <w:sz w:val="32"/>
          <w:szCs w:val="32"/>
          <w:lang w:eastAsia="zh-CN"/>
        </w:rPr>
        <w:t>密闭性好的设备，减少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废气</w:t>
      </w:r>
      <w:r>
        <w:rPr>
          <w:rFonts w:hint="default" w:ascii="Times New Roman" w:hAnsi="Times New Roman" w:eastAsia="仿宋_GB2312"/>
          <w:bCs/>
          <w:sz w:val="32"/>
          <w:szCs w:val="32"/>
          <w:lang w:eastAsia="zh-CN"/>
        </w:rPr>
        <w:t>的无组织排放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，确保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废气</w:t>
      </w:r>
      <w:r>
        <w:rPr>
          <w:rFonts w:hint="eastAsia" w:ascii="Times New Roman" w:hAnsi="Times New Roman" w:eastAsia="仿宋_GB2312"/>
          <w:bCs/>
          <w:sz w:val="32"/>
          <w:szCs w:val="32"/>
        </w:rPr>
        <w:t>无组织排放浓度满足厂界限值要求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baseline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2.生活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污水经市政污水管网排入中新生态城污水处理中心处理</w:t>
      </w:r>
      <w:r>
        <w:rPr>
          <w:rFonts w:hint="default" w:ascii="Times New Roman" w:hAnsi="Times New Roman" w:eastAsia="仿宋_GB2312"/>
          <w:bCs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558ED5" w:themeColor="text2" w:themeTint="99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3.站区应合理布局，选用低噪声设备，保证厂界噪声达标。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558ED5" w:themeColor="text2" w:themeTint="99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4.做好各类固体废物的收集、贮存、运输和处置，做到资源化、减量化、无害化。含油抹布、清理漏油产生的废消防沙、定期清罐产生的含油废水及油泥等危险废物须按照《危险废物收集贮存运输技术规范》（HJ2025-2012）进行收集、贮存及运输，并交由有相应资质的单位进行处理、处置；危险废物暂存库应按《危险废物贮存污染控制标准》（GB18597-2001）进行完善和管理；严格按照《工业危险废物产生单位规范化管理指标及抽查表》做好危险废物规范化管理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.严格按照环评报告的要求，完善地下水和土壤污染防治措施。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储罐应采用双层油罐，夹层间设置测漏报警仪；地下输油管道采用双层复合管，管道与油罐连接末端设置泄漏监测点。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结合区域地下水分布现状、水文地质条件和防渗措施，进一步优化重点污染防治区平面布置。严格按照《石油化工工程防渗技术规范》（GB/T50934-2013）的要求，对重点污染防治区和一般污染防治区等采取分区防渗措施，地下输油管道等重点污染防治区的防渗层防渗性能不低于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米厚渗透系数1.0×10</w:t>
      </w:r>
      <w:r>
        <w:rPr>
          <w:rFonts w:hint="eastAsia" w:ascii="Times New Roman" w:hAnsi="Times New Roman" w:eastAsia="仿宋_GB2312"/>
          <w:bCs/>
          <w:sz w:val="32"/>
          <w:szCs w:val="32"/>
          <w:vertAlign w:val="superscript"/>
          <w:lang w:val="en-US" w:eastAsia="zh-CN"/>
        </w:rPr>
        <w:t>-7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厘米/秒的粘土层</w:t>
      </w:r>
      <w:r>
        <w:rPr>
          <w:rFonts w:hint="eastAsia" w:eastAsia="仿宋_GB2312"/>
          <w:bCs/>
          <w:sz w:val="32"/>
          <w:szCs w:val="32"/>
          <w:lang w:val="en-US" w:eastAsia="zh-CN"/>
        </w:rPr>
        <w:t>的防渗性能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建立完善的地下水监测制度。合理设置地下水监测井，严格落实地下水监测计划，监测井应具备应急抽水功能。一旦出现地下水污染，立即启动应急预案和应急处置办法，避免对周边水环境保护目标和土壤造成不利影响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eastAsia="仿宋_GB2312" w:cs="Times New Roman"/>
          <w:sz w:val="32"/>
          <w:szCs w:val="32"/>
          <w:lang w:eastAsia="zh-C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规范化</w:t>
      </w:r>
      <w:r>
        <w:rPr>
          <w:rFonts w:hint="eastAsia" w:eastAsia="仿宋_GB2312" w:cs="Times New Roman"/>
          <w:sz w:val="32"/>
          <w:szCs w:val="32"/>
          <w:lang w:eastAsia="zh-CN"/>
        </w:rPr>
        <w:t>工作，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设置规范的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废气、废水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采样点，悬挂符合要求的标识牌</w:t>
      </w:r>
      <w:r>
        <w:rPr>
          <w:rFonts w:hint="eastAsia" w:eastAsia="仿宋_GB2312" w:cs="Times New Roman"/>
          <w:sz w:val="32"/>
          <w:szCs w:val="32"/>
          <w:lang w:eastAsia="zh-CN"/>
        </w:rPr>
        <w:t>，并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安装油气回收</w:t>
      </w:r>
      <w:r>
        <w:rPr>
          <w:rFonts w:hint="eastAsia" w:eastAsia="仿宋_GB2312" w:cs="Times New Roman"/>
          <w:sz w:val="32"/>
          <w:szCs w:val="32"/>
          <w:lang w:eastAsia="zh-CN"/>
        </w:rPr>
        <w:t>在线监测设施。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7.完善突发环境风险应急预案，并报区生态环境局备案；强化各项环境风险防范措施，定期开展应急演练，提高处理能力，有效防范环境风险。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val="en-US" w:eastAsia="zh-CN" w:bidi="ar-SA"/>
        </w:rPr>
        <w:t>根据区生态环境局出具的《关于</w:t>
      </w:r>
      <w:r>
        <w:rPr>
          <w:rFonts w:hint="default" w:eastAsia="仿宋_GB2312"/>
          <w:sz w:val="32"/>
          <w:szCs w:val="32"/>
          <w:lang w:val="en" w:eastAsia="zh-CN"/>
        </w:rPr>
        <w:t>天津滨海新区新开南路加油站有限公司改扩建项目</w:t>
      </w: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val="en-US" w:eastAsia="zh-CN" w:bidi="ar-SA"/>
        </w:rPr>
        <w:t>新增污染物总量来源的确认意见》，该项目新增化学需氧量</w:t>
      </w:r>
      <w:r>
        <w:rPr>
          <w:rFonts w:hint="eastAsia" w:eastAsia="仿宋_GB2312" w:cs="Times New Roman"/>
          <w:kern w:val="44"/>
          <w:sz w:val="32"/>
          <w:szCs w:val="32"/>
          <w:lang w:val="en-US" w:eastAsia="zh-CN" w:bidi="ar-SA"/>
        </w:rPr>
        <w:t>0.384</w:t>
      </w: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val="en-US" w:eastAsia="zh-CN" w:bidi="ar-SA"/>
        </w:rPr>
        <w:t>吨/年、氨氮0.</w:t>
      </w:r>
      <w:r>
        <w:rPr>
          <w:rFonts w:hint="eastAsia" w:eastAsia="仿宋_GB2312" w:cs="Times New Roman"/>
          <w:kern w:val="44"/>
          <w:sz w:val="32"/>
          <w:szCs w:val="32"/>
          <w:lang w:val="en-US" w:eastAsia="zh-CN" w:bidi="ar-SA"/>
        </w:rPr>
        <w:t>0346</w:t>
      </w: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val="en-US" w:eastAsia="zh-CN" w:bidi="ar-SA"/>
        </w:rPr>
        <w:t>吨/年、总氮0.</w:t>
      </w:r>
      <w:r>
        <w:rPr>
          <w:rFonts w:hint="eastAsia" w:eastAsia="仿宋_GB2312" w:cs="Times New Roman"/>
          <w:kern w:val="44"/>
          <w:sz w:val="32"/>
          <w:szCs w:val="32"/>
          <w:lang w:val="en-US" w:eastAsia="zh-CN" w:bidi="ar-SA"/>
        </w:rPr>
        <w:t>0538</w:t>
      </w: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val="en-US" w:eastAsia="zh-CN" w:bidi="ar-SA"/>
        </w:rPr>
        <w:t>吨/年、总磷0.0</w:t>
      </w:r>
      <w:r>
        <w:rPr>
          <w:rFonts w:hint="eastAsia" w:eastAsia="仿宋_GB2312" w:cs="Times New Roman"/>
          <w:kern w:val="44"/>
          <w:sz w:val="32"/>
          <w:szCs w:val="32"/>
          <w:lang w:val="en-US" w:eastAsia="zh-CN" w:bidi="ar-SA"/>
        </w:rPr>
        <w:t>061</w:t>
      </w: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val="en-US" w:eastAsia="zh-CN" w:bidi="ar-SA"/>
        </w:rPr>
        <w:t>吨/年。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eastAsia="仿宋_GB2312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按规定的标准和程序开展环境保护验收，经验收合格后方可正式投入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使用；在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发生实际排污之前，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你公司应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按照法律法规要求，做好排污许可管理相关工作；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若项目的性质、规模、地点、生产工艺或防治污染的措施发生重大变动，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重新报批环境影响评价文件。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五</w:t>
      </w:r>
      <w:r>
        <w:rPr>
          <w:rFonts w:hint="eastAsia" w:eastAsia="仿宋_GB2312"/>
          <w:sz w:val="32"/>
          <w:szCs w:val="32"/>
        </w:rPr>
        <w:t>、项目应执行以下标准：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1．环境质量标准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①《环境空气质量标准》（GB3095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hint="eastAsia" w:eastAsia="仿宋_GB2312"/>
          <w:sz w:val="32"/>
          <w:szCs w:val="32"/>
        </w:rPr>
        <w:t>2012）二级；非甲烷总烃执行《大气污染物综合排放标准详解》中规定值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②《声环境质量标准》（GB3096-2008）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类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4a类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③</w:t>
      </w:r>
      <w:r>
        <w:rPr>
          <w:rFonts w:hint="default" w:eastAsia="仿宋_GB2312"/>
          <w:sz w:val="32"/>
          <w:szCs w:val="32"/>
        </w:rPr>
        <w:t>《土壤环境质量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/>
          <w:sz w:val="32"/>
          <w:szCs w:val="32"/>
        </w:rPr>
        <w:t>建设用地土壤污染风险管控标准（试行）》（GB36600-2018）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default" w:eastAsia="仿宋_GB2312"/>
          <w:lang w:val="en-US" w:eastAsia="zh-CN"/>
        </w:rPr>
      </w:pPr>
      <w:r>
        <w:rPr>
          <w:rFonts w:hint="eastAsia" w:eastAsia="仿宋_GB2312"/>
          <w:sz w:val="32"/>
          <w:szCs w:val="32"/>
        </w:rPr>
        <w:t>④《地下水质量标准》（GB/T14848-2017）；</w:t>
      </w:r>
      <w:r>
        <w:rPr>
          <w:rFonts w:hint="eastAsia" w:eastAsia="仿宋_GB2312"/>
          <w:sz w:val="32"/>
          <w:szCs w:val="32"/>
          <w:lang w:val="en-US" w:eastAsia="zh-CN"/>
        </w:rPr>
        <w:t>《地表水环境质量标准》（</w:t>
      </w:r>
      <w:r>
        <w:rPr>
          <w:rFonts w:hint="eastAsia" w:eastAsia="仿宋_GB2312"/>
          <w:sz w:val="32"/>
          <w:szCs w:val="32"/>
        </w:rPr>
        <w:t>GB</w:t>
      </w:r>
      <w:r>
        <w:rPr>
          <w:rFonts w:hint="eastAsia" w:eastAsia="仿宋_GB2312"/>
          <w:sz w:val="32"/>
          <w:szCs w:val="32"/>
          <w:lang w:val="en-US" w:eastAsia="zh-CN"/>
        </w:rPr>
        <w:t>383</w:t>
      </w:r>
      <w:r>
        <w:rPr>
          <w:rFonts w:hint="eastAsia" w:eastAsia="仿宋_GB2312"/>
          <w:sz w:val="32"/>
          <w:szCs w:val="32"/>
        </w:rPr>
        <w:t>8-20</w:t>
      </w:r>
      <w:r>
        <w:rPr>
          <w:rFonts w:hint="eastAsia" w:eastAsia="仿宋_GB2312"/>
          <w:sz w:val="32"/>
          <w:szCs w:val="32"/>
          <w:lang w:val="en-US" w:eastAsia="zh-CN"/>
        </w:rPr>
        <w:t>02</w:t>
      </w:r>
      <w:r>
        <w:rPr>
          <w:rFonts w:hint="eastAsia" w:eastAsia="仿宋_GB2312"/>
          <w:sz w:val="32"/>
          <w:szCs w:val="32"/>
        </w:rPr>
        <w:t>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2．污染物排放标准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①</w:t>
      </w:r>
      <w:r>
        <w:rPr>
          <w:rFonts w:hint="eastAsia" w:eastAsia="仿宋_GB2312"/>
          <w:sz w:val="32"/>
          <w:szCs w:val="32"/>
        </w:rPr>
        <w:fldChar w:fldCharType="begin"/>
      </w:r>
      <w:r>
        <w:rPr>
          <w:rFonts w:hint="eastAsia" w:eastAsia="仿宋_GB2312"/>
          <w:sz w:val="32"/>
          <w:szCs w:val="32"/>
        </w:rPr>
        <w:instrText xml:space="preserve"> HYPERLINK "http://www.baidu.com/link?url=kXyZjpgllNNSdHm2KjKbKdYdrIBwH8HFfuU3deeS4PVCgfUCiPzIWkylL8m8F2q08lzwZ9GPNYP6BB4qevHZ2D38FwR4-zh1VNDONptfDBXUoR1fC76IL76upVx0QxAT" \t "https://www.baidu.com/_blank" </w:instrText>
      </w:r>
      <w:r>
        <w:rPr>
          <w:rFonts w:hint="eastAsia" w:eastAsia="仿宋_GB2312"/>
          <w:sz w:val="32"/>
          <w:szCs w:val="32"/>
        </w:rPr>
        <w:fldChar w:fldCharType="separate"/>
      </w:r>
      <w:r>
        <w:rPr>
          <w:rFonts w:hint="eastAsia" w:eastAsia="仿宋_GB2312"/>
          <w:sz w:val="32"/>
          <w:szCs w:val="32"/>
        </w:rPr>
        <w:t>《加油站大气污染物排放标准》（GB20952-20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fldChar w:fldCharType="end"/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《污水综合排放标准》（DB12/356-20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8）三级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③</w:t>
      </w:r>
      <w:r>
        <w:rPr>
          <w:rFonts w:hint="eastAsia" w:eastAsia="仿宋_GB2312"/>
          <w:sz w:val="32"/>
          <w:szCs w:val="32"/>
        </w:rPr>
        <w:t>《工业企业厂界环境噪声排放标准》（GB12348-2008）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类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4类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④</w:t>
      </w:r>
      <w:r>
        <w:rPr>
          <w:rFonts w:hint="eastAsia" w:eastAsia="仿宋_GB2312"/>
          <w:sz w:val="32"/>
          <w:szCs w:val="32"/>
        </w:rPr>
        <w:t>《危险废物贮存污染控制标准》（GB18597-2001）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0"/>
        <w:textAlignment w:val="baseline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《危险废物收集贮存运输技术规范》（HJ2025-2012）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⑥</w:t>
      </w:r>
      <w:r>
        <w:rPr>
          <w:rFonts w:hint="eastAsia"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一般工业固体废物贮存</w:t>
      </w:r>
      <w:r>
        <w:rPr>
          <w:rFonts w:hint="eastAsia" w:eastAsia="仿宋_GB2312"/>
          <w:sz w:val="32"/>
          <w:szCs w:val="32"/>
          <w:lang w:eastAsia="zh-CN"/>
        </w:rPr>
        <w:t>和填埋</w:t>
      </w:r>
      <w:r>
        <w:rPr>
          <w:rFonts w:eastAsia="仿宋_GB2312"/>
          <w:sz w:val="32"/>
          <w:szCs w:val="32"/>
        </w:rPr>
        <w:t>污染控制标准</w:t>
      </w:r>
      <w:r>
        <w:rPr>
          <w:rFonts w:hint="eastAsia" w:eastAsia="仿宋_GB2312"/>
          <w:sz w:val="32"/>
          <w:szCs w:val="32"/>
        </w:rPr>
        <w:t>》（</w:t>
      </w:r>
      <w:r>
        <w:rPr>
          <w:rFonts w:eastAsia="仿宋_GB2312"/>
          <w:sz w:val="32"/>
          <w:szCs w:val="32"/>
        </w:rPr>
        <w:t>GB18599-20</w:t>
      </w:r>
      <w:r>
        <w:rPr>
          <w:rFonts w:hint="default" w:eastAsia="仿宋_GB2312"/>
          <w:sz w:val="32"/>
          <w:szCs w:val="32"/>
          <w:lang w:val="en"/>
        </w:rPr>
        <w:t>20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此复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360" w:lineRule="auto"/>
        <w:ind w:firstLine="2800" w:firstLineChars="1000"/>
        <w:jc w:val="right"/>
        <w:rPr>
          <w:rFonts w:hint="eastAsia" w:eastAsia="仿宋_GB2312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eastAsia="仿宋_GB2312" w:cs="Times New Roman"/>
          <w:sz w:val="32"/>
          <w:highlight w:val="none"/>
          <w:lang w:val="en-US" w:eastAsia="zh-CN"/>
        </w:rPr>
        <w:t xml:space="preserve">    </w:t>
      </w:r>
    </w:p>
    <w:p>
      <w:pPr>
        <w:pStyle w:val="2"/>
        <w:wordWrap/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pStyle w:val="2"/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pStyle w:val="2"/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pStyle w:val="2"/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pStyle w:val="2"/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68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主题词：环境影响 报告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批复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（共印4份）</w:t>
      </w:r>
    </w:p>
    <w:tbl>
      <w:tblPr>
        <w:tblStyle w:val="6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680" w:lineRule="exact"/>
              <w:ind w:right="160" w:firstLine="280" w:firstLineChars="100"/>
              <w:rPr>
                <w:rFonts w:hint="default" w:ascii="Times New Roman" w:hAnsi="Times New Roman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送：天津市滨海新区生态环境局</w:t>
            </w:r>
          </w:p>
        </w:tc>
      </w:tr>
    </w:tbl>
    <w:p>
      <w:pPr>
        <w:ind w:firstLine="28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天津市滨海新区行政审批局             </w:t>
      </w:r>
      <w:bookmarkStart w:id="0" w:name="_GoBack"/>
      <w:bookmarkEnd w:id="0"/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20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2"/>
    <w:rsid w:val="000052E2"/>
    <w:rsid w:val="000D0BAA"/>
    <w:rsid w:val="000F7AB4"/>
    <w:rsid w:val="0010188A"/>
    <w:rsid w:val="001070EC"/>
    <w:rsid w:val="00145F43"/>
    <w:rsid w:val="00152774"/>
    <w:rsid w:val="00180D2F"/>
    <w:rsid w:val="001964EB"/>
    <w:rsid w:val="001A023C"/>
    <w:rsid w:val="00234BD5"/>
    <w:rsid w:val="00254B41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631BCE"/>
    <w:rsid w:val="006A0BFE"/>
    <w:rsid w:val="0071652F"/>
    <w:rsid w:val="00745E92"/>
    <w:rsid w:val="007939DD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6183"/>
    <w:rsid w:val="00AD7A1F"/>
    <w:rsid w:val="00B375DB"/>
    <w:rsid w:val="00B941D8"/>
    <w:rsid w:val="00BF6B0B"/>
    <w:rsid w:val="00C8289E"/>
    <w:rsid w:val="00CE5024"/>
    <w:rsid w:val="00D006C4"/>
    <w:rsid w:val="00D12F65"/>
    <w:rsid w:val="00D52B80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1464BF0"/>
    <w:rsid w:val="01605565"/>
    <w:rsid w:val="017D0E60"/>
    <w:rsid w:val="022C4AC3"/>
    <w:rsid w:val="023A6BC9"/>
    <w:rsid w:val="03171546"/>
    <w:rsid w:val="031C0752"/>
    <w:rsid w:val="03EA0063"/>
    <w:rsid w:val="04970BC1"/>
    <w:rsid w:val="04AD0797"/>
    <w:rsid w:val="079075EF"/>
    <w:rsid w:val="07CF6683"/>
    <w:rsid w:val="08CC7EF8"/>
    <w:rsid w:val="0A616717"/>
    <w:rsid w:val="0A7B58F8"/>
    <w:rsid w:val="0A993ECD"/>
    <w:rsid w:val="0AFD432E"/>
    <w:rsid w:val="0B0D5A13"/>
    <w:rsid w:val="0B6D14B7"/>
    <w:rsid w:val="0B751764"/>
    <w:rsid w:val="0BA22F78"/>
    <w:rsid w:val="0CD111DE"/>
    <w:rsid w:val="0D777966"/>
    <w:rsid w:val="0DA17C0A"/>
    <w:rsid w:val="0E491814"/>
    <w:rsid w:val="0F15100D"/>
    <w:rsid w:val="0FA859B9"/>
    <w:rsid w:val="0FBF42EC"/>
    <w:rsid w:val="11D91F41"/>
    <w:rsid w:val="126758C9"/>
    <w:rsid w:val="138327ED"/>
    <w:rsid w:val="14367871"/>
    <w:rsid w:val="1518002A"/>
    <w:rsid w:val="15794D99"/>
    <w:rsid w:val="16420B4B"/>
    <w:rsid w:val="17977B39"/>
    <w:rsid w:val="17B46048"/>
    <w:rsid w:val="180E7B33"/>
    <w:rsid w:val="184D3DB0"/>
    <w:rsid w:val="19827E91"/>
    <w:rsid w:val="19B95B36"/>
    <w:rsid w:val="19C23FA1"/>
    <w:rsid w:val="1BD1643B"/>
    <w:rsid w:val="1BED3202"/>
    <w:rsid w:val="1D992813"/>
    <w:rsid w:val="1E742A13"/>
    <w:rsid w:val="1E775E2D"/>
    <w:rsid w:val="1E8563FC"/>
    <w:rsid w:val="1E860E96"/>
    <w:rsid w:val="1F3259C6"/>
    <w:rsid w:val="1FFAE524"/>
    <w:rsid w:val="206E52DB"/>
    <w:rsid w:val="217E0DA2"/>
    <w:rsid w:val="21D74401"/>
    <w:rsid w:val="220D79D5"/>
    <w:rsid w:val="228D1920"/>
    <w:rsid w:val="235F1C43"/>
    <w:rsid w:val="246E51C2"/>
    <w:rsid w:val="251F2C93"/>
    <w:rsid w:val="25930AA1"/>
    <w:rsid w:val="25B77F28"/>
    <w:rsid w:val="261C2711"/>
    <w:rsid w:val="26333F5B"/>
    <w:rsid w:val="264C63DC"/>
    <w:rsid w:val="2730219E"/>
    <w:rsid w:val="27927955"/>
    <w:rsid w:val="27DF6D5B"/>
    <w:rsid w:val="27ED719E"/>
    <w:rsid w:val="28A50490"/>
    <w:rsid w:val="290416FB"/>
    <w:rsid w:val="2A8E570B"/>
    <w:rsid w:val="2B5A4C61"/>
    <w:rsid w:val="2B892A8E"/>
    <w:rsid w:val="2BE975ED"/>
    <w:rsid w:val="2DA85F50"/>
    <w:rsid w:val="2DE85F13"/>
    <w:rsid w:val="2E727497"/>
    <w:rsid w:val="2FC339E9"/>
    <w:rsid w:val="31140AC3"/>
    <w:rsid w:val="31C439B0"/>
    <w:rsid w:val="31D3618D"/>
    <w:rsid w:val="31E47D3B"/>
    <w:rsid w:val="330A7AD7"/>
    <w:rsid w:val="33937C59"/>
    <w:rsid w:val="33CC3E98"/>
    <w:rsid w:val="34D7709C"/>
    <w:rsid w:val="34DD613F"/>
    <w:rsid w:val="3536679E"/>
    <w:rsid w:val="3678062E"/>
    <w:rsid w:val="37232DB8"/>
    <w:rsid w:val="37FD68A6"/>
    <w:rsid w:val="393B4C3B"/>
    <w:rsid w:val="3982447C"/>
    <w:rsid w:val="39851AEA"/>
    <w:rsid w:val="399A2EB5"/>
    <w:rsid w:val="3C0B33E8"/>
    <w:rsid w:val="3C491AF5"/>
    <w:rsid w:val="3CB16EAA"/>
    <w:rsid w:val="3D1B42E3"/>
    <w:rsid w:val="3D8D3BBB"/>
    <w:rsid w:val="3E053D44"/>
    <w:rsid w:val="3E6B05F3"/>
    <w:rsid w:val="419A35AC"/>
    <w:rsid w:val="41BA15F9"/>
    <w:rsid w:val="420A2FF8"/>
    <w:rsid w:val="42195A6A"/>
    <w:rsid w:val="423E4456"/>
    <w:rsid w:val="43AE49AE"/>
    <w:rsid w:val="44F21C4B"/>
    <w:rsid w:val="45AD6951"/>
    <w:rsid w:val="463C00DC"/>
    <w:rsid w:val="47221287"/>
    <w:rsid w:val="47845592"/>
    <w:rsid w:val="485477BF"/>
    <w:rsid w:val="485D46A3"/>
    <w:rsid w:val="48B431C7"/>
    <w:rsid w:val="4A13595D"/>
    <w:rsid w:val="4AE83298"/>
    <w:rsid w:val="4B106CD2"/>
    <w:rsid w:val="4C895B69"/>
    <w:rsid w:val="4D7A256B"/>
    <w:rsid w:val="4EA51583"/>
    <w:rsid w:val="4F016F2E"/>
    <w:rsid w:val="4F9E2FE4"/>
    <w:rsid w:val="502925FF"/>
    <w:rsid w:val="50C54397"/>
    <w:rsid w:val="50D413E4"/>
    <w:rsid w:val="517F3AB5"/>
    <w:rsid w:val="51872AF4"/>
    <w:rsid w:val="51A96376"/>
    <w:rsid w:val="51F37B94"/>
    <w:rsid w:val="51FF48CF"/>
    <w:rsid w:val="5261193E"/>
    <w:rsid w:val="52B31C66"/>
    <w:rsid w:val="53333171"/>
    <w:rsid w:val="53334AA9"/>
    <w:rsid w:val="537F0991"/>
    <w:rsid w:val="541A70D3"/>
    <w:rsid w:val="56266096"/>
    <w:rsid w:val="562D4626"/>
    <w:rsid w:val="56F00E14"/>
    <w:rsid w:val="5733590C"/>
    <w:rsid w:val="5750757E"/>
    <w:rsid w:val="581A10A7"/>
    <w:rsid w:val="59465D4C"/>
    <w:rsid w:val="59A10B54"/>
    <w:rsid w:val="5A9211A0"/>
    <w:rsid w:val="5BF87ACE"/>
    <w:rsid w:val="5CE11D93"/>
    <w:rsid w:val="5D1A2FE5"/>
    <w:rsid w:val="5DB84FA9"/>
    <w:rsid w:val="5E0A1E6D"/>
    <w:rsid w:val="5E2A6CFE"/>
    <w:rsid w:val="5F9A6485"/>
    <w:rsid w:val="5FFF4964"/>
    <w:rsid w:val="619F7DE0"/>
    <w:rsid w:val="61F11BB7"/>
    <w:rsid w:val="628A6975"/>
    <w:rsid w:val="62F9157D"/>
    <w:rsid w:val="63A519FA"/>
    <w:rsid w:val="63C42AC6"/>
    <w:rsid w:val="686A0B4A"/>
    <w:rsid w:val="68CD0632"/>
    <w:rsid w:val="6A68020F"/>
    <w:rsid w:val="6B622B93"/>
    <w:rsid w:val="6CBE07C5"/>
    <w:rsid w:val="6CE124F8"/>
    <w:rsid w:val="6F2605FE"/>
    <w:rsid w:val="6F4020DE"/>
    <w:rsid w:val="6FF3011B"/>
    <w:rsid w:val="706E47D2"/>
    <w:rsid w:val="71B60E95"/>
    <w:rsid w:val="71F065BA"/>
    <w:rsid w:val="729829D6"/>
    <w:rsid w:val="73067FA2"/>
    <w:rsid w:val="734D635D"/>
    <w:rsid w:val="735D6A13"/>
    <w:rsid w:val="73935D89"/>
    <w:rsid w:val="73C20023"/>
    <w:rsid w:val="73C90575"/>
    <w:rsid w:val="74235FBB"/>
    <w:rsid w:val="7458541A"/>
    <w:rsid w:val="7479752E"/>
    <w:rsid w:val="75C173E7"/>
    <w:rsid w:val="75F63195"/>
    <w:rsid w:val="76A77C9C"/>
    <w:rsid w:val="76D4578A"/>
    <w:rsid w:val="770574A0"/>
    <w:rsid w:val="78241FCC"/>
    <w:rsid w:val="787E122A"/>
    <w:rsid w:val="78B56081"/>
    <w:rsid w:val="7A134250"/>
    <w:rsid w:val="7A4D29BF"/>
    <w:rsid w:val="7C4F638F"/>
    <w:rsid w:val="7D123060"/>
    <w:rsid w:val="7E6C59D9"/>
    <w:rsid w:val="7FD231E4"/>
    <w:rsid w:val="97FF6120"/>
    <w:rsid w:val="9FA3A381"/>
    <w:rsid w:val="D79F84D6"/>
    <w:rsid w:val="DE3EE7A5"/>
    <w:rsid w:val="DF6F69E6"/>
    <w:rsid w:val="FD7FD7DF"/>
    <w:rsid w:val="FE6FD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paragraph" w:customStyle="1" w:styleId="12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</Words>
  <Characters>39</Characters>
  <Lines>1</Lines>
  <Paragraphs>1</Paragraphs>
  <TotalTime>0</TotalTime>
  <ScaleCrop>false</ScaleCrop>
  <LinksUpToDate>false</LinksUpToDate>
  <CharactersWithSpaces>44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2014-05-23T17:22:00Z</dcterms:created>
  <dc:creator>张明蕾</dc:creator>
  <cp:lastModifiedBy>孙烨</cp:lastModifiedBy>
  <cp:lastPrinted>2020-01-21T22:59:00Z</cp:lastPrinted>
  <dcterms:modified xsi:type="dcterms:W3CDTF">2021-09-13T13:21:41Z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070D3A0B364A49568C5F07C7A6D5C026</vt:lpwstr>
  </property>
</Properties>
</file>