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highlight w:val="yellow"/>
          <w:lang w:eastAsia="zh-CN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津滨审批二室准〔20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224</w:t>
      </w:r>
      <w:r>
        <w:rPr>
          <w:rFonts w:eastAsia="仿宋_GB2312"/>
          <w:sz w:val="32"/>
          <w:szCs w:val="32"/>
        </w:rPr>
        <w:t>号</w:t>
      </w:r>
    </w:p>
    <w:p>
      <w:pPr>
        <w:spacing w:line="700" w:lineRule="exact"/>
        <w:jc w:val="center"/>
        <w:rPr>
          <w:rFonts w:eastAsia="方正小标宋简体"/>
          <w:color w:val="000000"/>
          <w:sz w:val="44"/>
        </w:rPr>
      </w:pPr>
    </w:p>
    <w:p>
      <w:pPr>
        <w:spacing w:line="700" w:lineRule="exact"/>
        <w:jc w:val="center"/>
        <w:rPr>
          <w:rFonts w:hint="eastAsia" w:eastAsia="方正小标宋简体"/>
          <w:color w:val="000000"/>
          <w:sz w:val="44"/>
          <w:lang w:eastAsia="zh-CN"/>
        </w:rPr>
      </w:pPr>
      <w:r>
        <w:rPr>
          <w:rFonts w:eastAsia="方正小标宋简体"/>
          <w:color w:val="000000"/>
          <w:sz w:val="44"/>
        </w:rPr>
        <w:t>关于</w:t>
      </w:r>
      <w:r>
        <w:rPr>
          <w:rFonts w:hint="eastAsia" w:eastAsia="方正小标宋简体"/>
          <w:color w:val="000000"/>
          <w:sz w:val="44"/>
        </w:rPr>
        <w:t>天津</w:t>
      </w:r>
      <w:r>
        <w:rPr>
          <w:rFonts w:hint="eastAsia" w:eastAsia="方正小标宋简体"/>
          <w:color w:val="000000"/>
          <w:sz w:val="44"/>
          <w:lang w:eastAsia="zh-CN"/>
        </w:rPr>
        <w:t>市驰隆化工有限公司燃煤锅炉</w:t>
      </w:r>
    </w:p>
    <w:p>
      <w:pPr>
        <w:spacing w:line="700" w:lineRule="exact"/>
        <w:jc w:val="center"/>
        <w:rPr>
          <w:rFonts w:eastAsia="方正小标宋简体"/>
          <w:color w:val="000000"/>
          <w:sz w:val="44"/>
        </w:rPr>
      </w:pPr>
      <w:r>
        <w:rPr>
          <w:rFonts w:hint="eastAsia" w:eastAsia="方正小标宋简体"/>
          <w:color w:val="000000"/>
          <w:sz w:val="44"/>
          <w:lang w:eastAsia="zh-CN"/>
        </w:rPr>
        <w:t>改生物质锅炉项目</w:t>
      </w:r>
      <w:r>
        <w:rPr>
          <w:rFonts w:eastAsia="方正小标宋简体"/>
          <w:color w:val="000000"/>
          <w:sz w:val="44"/>
        </w:rPr>
        <w:t>环境影响报告表的批复</w:t>
      </w:r>
    </w:p>
    <w:p>
      <w:pPr>
        <w:spacing w:line="0" w:lineRule="atLeast"/>
        <w:jc w:val="center"/>
        <w:rPr>
          <w:b/>
          <w:color w:val="000000"/>
          <w:sz w:val="44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天津</w:t>
      </w:r>
      <w:r>
        <w:rPr>
          <w:rFonts w:hint="eastAsia" w:eastAsia="仿宋_GB2312"/>
          <w:bCs/>
          <w:sz w:val="32"/>
          <w:szCs w:val="32"/>
          <w:lang w:eastAsia="zh-CN"/>
        </w:rPr>
        <w:t>市驰隆化工有限公司</w:t>
      </w:r>
      <w:r>
        <w:rPr>
          <w:rFonts w:hint="eastAsia" w:eastAsia="仿宋_GB2312"/>
          <w:sz w:val="32"/>
          <w:szCs w:val="32"/>
        </w:rPr>
        <w:t>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你公司</w:t>
      </w:r>
      <w:r>
        <w:rPr>
          <w:rFonts w:eastAsia="仿宋_GB2312"/>
          <w:sz w:val="32"/>
          <w:szCs w:val="32"/>
        </w:rPr>
        <w:t>呈报的《</w:t>
      </w:r>
      <w:r>
        <w:rPr>
          <w:rFonts w:hint="eastAsia" w:eastAsia="仿宋_GB2312"/>
          <w:bCs/>
          <w:sz w:val="32"/>
          <w:szCs w:val="32"/>
          <w:lang w:eastAsia="zh-CN"/>
        </w:rPr>
        <w:t>建设</w:t>
      </w:r>
      <w:r>
        <w:rPr>
          <w:rFonts w:hint="eastAsia" w:eastAsia="仿宋_GB2312"/>
          <w:sz w:val="32"/>
          <w:szCs w:val="32"/>
          <w:lang w:eastAsia="zh-CN"/>
        </w:rPr>
        <w:t>项目</w:t>
      </w:r>
      <w:r>
        <w:rPr>
          <w:rFonts w:hint="eastAsia" w:eastAsia="仿宋_GB2312"/>
          <w:sz w:val="32"/>
          <w:szCs w:val="32"/>
        </w:rPr>
        <w:t>环境影响</w:t>
      </w:r>
      <w:r>
        <w:rPr>
          <w:rFonts w:hint="eastAsia" w:eastAsia="仿宋_GB2312"/>
          <w:sz w:val="32"/>
          <w:szCs w:val="32"/>
          <w:lang w:eastAsia="zh-CN"/>
        </w:rPr>
        <w:t>审批申请书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  <w:lang w:val="en-US" w:eastAsia="zh-CN"/>
        </w:rPr>
        <w:t>世纪鑫海（天津）环境科技股份有限公司</w:t>
      </w: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eastAsia="zh-CN"/>
        </w:rPr>
        <w:t>天津市驰隆化工有限公司燃煤锅炉改生物质锅炉项目</w:t>
      </w:r>
      <w:r>
        <w:rPr>
          <w:rFonts w:hint="eastAsia" w:eastAsia="仿宋_GB2312"/>
          <w:sz w:val="32"/>
          <w:szCs w:val="32"/>
        </w:rPr>
        <w:t>环境影响报告表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val="en-US" w:eastAsia="zh-CN"/>
        </w:rPr>
        <w:t>等材料</w:t>
      </w:r>
      <w:r>
        <w:rPr>
          <w:rFonts w:eastAsia="仿宋_GB2312"/>
          <w:sz w:val="32"/>
          <w:szCs w:val="32"/>
        </w:rPr>
        <w:t>收悉。经研究，现批复如下：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outlineLvl w:val="9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eastAsia="zh-CN"/>
        </w:rPr>
        <w:t>你公司位于滨海新区杨家泊镇辛庄村西，</w:t>
      </w:r>
      <w:r>
        <w:rPr>
          <w:rFonts w:hint="eastAsia" w:eastAsia="仿宋_GB2312"/>
          <w:bCs/>
          <w:sz w:val="32"/>
          <w:szCs w:val="32"/>
          <w:lang w:val="en-US" w:eastAsia="zh-CN"/>
        </w:rPr>
        <w:t>2017年对原有的一台4吨/小时燃煤锅炉内部进行了改造，排气筒加高至35米，并新增一套布袋除尘器，其余配套设施均利旧，改造后的锅炉使用生物质成型燃料。该项目仅涉及锅炉改造内容，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总投资</w:t>
      </w:r>
      <w:r>
        <w:rPr>
          <w:rFonts w:hint="eastAsia" w:eastAsia="仿宋_GB2312"/>
          <w:bCs/>
          <w:sz w:val="32"/>
          <w:szCs w:val="32"/>
          <w:lang w:val="en-US" w:eastAsia="zh-CN"/>
        </w:rPr>
        <w:t>50</w:t>
      </w:r>
      <w:r>
        <w:rPr>
          <w:rFonts w:hint="eastAsia" w:eastAsia="仿宋_GB2312"/>
          <w:bCs/>
          <w:sz w:val="32"/>
          <w:szCs w:val="32"/>
        </w:rPr>
        <w:t>万元</w:t>
      </w:r>
      <w:r>
        <w:rPr>
          <w:rFonts w:hint="eastAsia" w:eastAsia="仿宋_GB2312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环保投资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万元，占总投资的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%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该项目未履行环评审批手续。</w:t>
      </w:r>
      <w:r>
        <w:rPr>
          <w:rFonts w:hint="eastAsia" w:eastAsia="仿宋_GB2312" w:cs="Times New Roman"/>
          <w:sz w:val="32"/>
          <w:szCs w:val="32"/>
          <w:lang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关于建设项目未批先建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违法行为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法律适用问题的意见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》（环政法函〔2018〕31号），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委托编制了环境影响报告，报送我局审查。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szCs w:val="32"/>
        </w:rPr>
        <w:t>我局将该项目</w:t>
      </w:r>
      <w:r>
        <w:rPr>
          <w:rFonts w:hint="eastAsia" w:eastAsia="仿宋_GB2312"/>
          <w:sz w:val="32"/>
          <w:szCs w:val="32"/>
          <w:lang w:eastAsia="zh-CN"/>
        </w:rPr>
        <w:t>环评报告</w:t>
      </w:r>
      <w:r>
        <w:rPr>
          <w:rFonts w:hint="eastAsia" w:eastAsia="仿宋_GB2312"/>
          <w:sz w:val="32"/>
          <w:szCs w:val="32"/>
        </w:rPr>
        <w:t>受理情况进行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hint="eastAsia" w:eastAsia="仿宋_GB2312"/>
          <w:sz w:val="32"/>
          <w:szCs w:val="32"/>
        </w:rPr>
        <w:t>公示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月3日至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szCs w:val="32"/>
        </w:rPr>
        <w:t>将该项目</w:t>
      </w:r>
      <w:r>
        <w:rPr>
          <w:rFonts w:hint="eastAsia" w:eastAsia="仿宋_GB2312"/>
          <w:sz w:val="32"/>
          <w:szCs w:val="32"/>
          <w:lang w:eastAsia="zh-CN"/>
        </w:rPr>
        <w:t>环评报告</w:t>
      </w:r>
      <w:r>
        <w:rPr>
          <w:rFonts w:eastAsia="仿宋_GB2312"/>
          <w:sz w:val="32"/>
          <w:szCs w:val="32"/>
        </w:rPr>
        <w:t>拟批复情况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eastAsia="仿宋_GB2312"/>
          <w:sz w:val="32"/>
          <w:szCs w:val="32"/>
        </w:rPr>
        <w:t>进行公示；根据公众反馈意见情况及环评报告结论，在严格落实环评报告所提出的各项污染防治措施、确保各类污染物稳定达标的前提下，该</w:t>
      </w:r>
      <w:r>
        <w:rPr>
          <w:rFonts w:hint="eastAsia" w:eastAsia="仿宋_GB2312"/>
          <w:sz w:val="32"/>
          <w:szCs w:val="32"/>
        </w:rPr>
        <w:t>项目具备环境可行性</w:t>
      </w:r>
      <w:r>
        <w:rPr>
          <w:rFonts w:eastAsia="仿宋_GB2312"/>
          <w:sz w:val="32"/>
          <w:szCs w:val="32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  <w:lang w:eastAsia="zh-CN"/>
        </w:rPr>
        <w:t>你公司</w:t>
      </w:r>
      <w:r>
        <w:rPr>
          <w:rFonts w:eastAsia="仿宋_GB2312"/>
          <w:sz w:val="32"/>
          <w:szCs w:val="32"/>
        </w:rPr>
        <w:t>应</w:t>
      </w:r>
      <w:r>
        <w:rPr>
          <w:rFonts w:hint="eastAsia" w:eastAsia="仿宋_GB2312"/>
          <w:sz w:val="32"/>
          <w:szCs w:val="32"/>
        </w:rPr>
        <w:t>落实各项环保治理措施，</w:t>
      </w:r>
      <w:r>
        <w:rPr>
          <w:rFonts w:eastAsia="仿宋_GB2312"/>
          <w:sz w:val="32"/>
          <w:szCs w:val="32"/>
        </w:rPr>
        <w:t>重点做好以下工作：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锅炉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燃烧废气经“旋风除尘器+脱硫装置+布袋除尘器”处理后，由一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排气筒达标排放。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eastAsia="仿宋_GB2312"/>
          <w:bCs/>
          <w:sz w:val="32"/>
          <w:szCs w:val="32"/>
          <w:lang w:eastAsia="zh-CN"/>
        </w:rPr>
        <w:t>锅炉和软水制备排水、反冲洗废水回用于生产，不外排。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bCs/>
          <w:sz w:val="32"/>
          <w:szCs w:val="32"/>
        </w:rPr>
        <w:t>选用低噪声设备，并采取隔声降噪措施，保证厂界噪声达标。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bCs/>
          <w:sz w:val="32"/>
          <w:szCs w:val="32"/>
        </w:rPr>
        <w:t>.</w:t>
      </w:r>
      <w:r>
        <w:rPr>
          <w:rFonts w:hint="eastAsia" w:eastAsia="仿宋_GB2312"/>
          <w:bCs/>
          <w:sz w:val="32"/>
          <w:szCs w:val="32"/>
          <w:lang w:eastAsia="zh-CN"/>
        </w:rPr>
        <w:t>炉灰、脱硫装置产生的沉渣和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除尘灰均外售作综合利用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.</w:t>
      </w:r>
      <w:r>
        <w:rPr>
          <w:rFonts w:hint="eastAsia" w:eastAsia="仿宋_GB2312"/>
          <w:bCs/>
          <w:sz w:val="32"/>
          <w:szCs w:val="32"/>
          <w:lang w:val="en-US" w:eastAsia="zh-CN"/>
        </w:rPr>
        <w:t>做好排污口规范化工作，</w:t>
      </w:r>
      <w:r>
        <w:rPr>
          <w:rFonts w:hint="default" w:eastAsia="仿宋_GB2312"/>
          <w:bCs/>
          <w:sz w:val="32"/>
          <w:szCs w:val="32"/>
          <w:lang w:val="en-US" w:eastAsia="zh-CN"/>
        </w:rPr>
        <w:t>设置规范的废气采样点，悬挂符合要求的标识牌</w:t>
      </w:r>
      <w:r>
        <w:rPr>
          <w:rFonts w:hint="eastAsia" w:eastAsia="仿宋_GB2312"/>
          <w:bCs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环境局出具的《关于</w:t>
      </w:r>
      <w:r>
        <w:rPr>
          <w:rFonts w:hint="eastAsia" w:eastAsia="仿宋_GB2312"/>
          <w:sz w:val="32"/>
          <w:szCs w:val="32"/>
          <w:lang w:eastAsia="zh-CN"/>
        </w:rPr>
        <w:t>天津市驰隆化工有限公司燃煤锅炉改生物质锅炉项目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新增主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要污染物总量来源的确认意见》，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污染物排放量为：二氧化硫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0.024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吨/年、氮氧化物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吨/年。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hint="eastAsia" w:eastAsia="仿宋_GB2312" w:cs="Times New Roman"/>
          <w:sz w:val="32"/>
          <w:szCs w:val="32"/>
          <w:lang w:eastAsia="zh-CN"/>
        </w:rPr>
        <w:t>项目应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按规定的标准和程序开展环境保护验收，经验收合格后方可正式投入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使用；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你公司在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该项目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发生实际排污之前，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按照法律法规要求，做好排污许可管理相关工作；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的性质、规模、地点、生产工艺或防治污染的措施发生重大变动，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重新报批环境影响评价文件。</w:t>
      </w:r>
    </w:p>
    <w:p>
      <w:pPr>
        <w:pStyle w:val="12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62" w:firstLineChars="20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五、项目应执行以下标准：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eastAsia="zh-CN"/>
        </w:rPr>
        <w:t>生物质成型燃料锅炉</w:t>
      </w:r>
      <w:r>
        <w:rPr>
          <w:rFonts w:eastAsia="仿宋_GB2312"/>
          <w:sz w:val="32"/>
          <w:szCs w:val="32"/>
        </w:rPr>
        <w:t>大气污染物排放标准》（DB12/</w:t>
      </w:r>
      <w:r>
        <w:rPr>
          <w:rFonts w:hint="eastAsia" w:eastAsia="仿宋_GB2312"/>
          <w:sz w:val="32"/>
          <w:szCs w:val="32"/>
          <w:lang w:val="en-US" w:eastAsia="zh-CN"/>
        </w:rPr>
        <w:t>765</w:t>
      </w:r>
      <w:r>
        <w:rPr>
          <w:rFonts w:eastAsia="仿宋_GB2312"/>
          <w:sz w:val="32"/>
          <w:szCs w:val="32"/>
        </w:rPr>
        <w:t>-20</w:t>
      </w:r>
      <w:r>
        <w:rPr>
          <w:rFonts w:hint="eastAsia" w:eastAsia="仿宋_GB2312"/>
          <w:sz w:val="32"/>
          <w:szCs w:val="32"/>
          <w:lang w:val="en-US" w:eastAsia="zh-CN"/>
        </w:rPr>
        <w:t>18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2.《工业企业厂界环境噪声排放标准》（GB12348-2008）</w:t>
      </w:r>
      <w:r>
        <w:rPr>
          <w:rFonts w:hint="eastAsia" w:eastAsia="仿宋_GB2312"/>
          <w:sz w:val="32"/>
          <w:szCs w:val="32"/>
          <w:lang w:val="en-US" w:eastAsia="zh-CN"/>
        </w:rPr>
        <w:t>2类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outlineLvl w:val="9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《</w:t>
      </w:r>
      <w:r>
        <w:rPr>
          <w:rFonts w:eastAsia="仿宋_GB2312"/>
          <w:sz w:val="32"/>
          <w:szCs w:val="32"/>
        </w:rPr>
        <w:t>一般工业固体废物贮存</w:t>
      </w:r>
      <w:r>
        <w:rPr>
          <w:rFonts w:hint="eastAsia" w:eastAsia="仿宋_GB2312"/>
          <w:sz w:val="32"/>
          <w:szCs w:val="32"/>
          <w:lang w:eastAsia="zh-CN"/>
        </w:rPr>
        <w:t>和填埋</w:t>
      </w:r>
      <w:r>
        <w:rPr>
          <w:rFonts w:eastAsia="仿宋_GB2312"/>
          <w:sz w:val="32"/>
          <w:szCs w:val="32"/>
        </w:rPr>
        <w:t>污染控制标准</w:t>
      </w:r>
      <w:r>
        <w:rPr>
          <w:rFonts w:hint="eastAsia" w:eastAsia="仿宋_GB2312"/>
          <w:sz w:val="32"/>
          <w:szCs w:val="32"/>
        </w:rPr>
        <w:t>》（</w:t>
      </w:r>
      <w:r>
        <w:rPr>
          <w:rFonts w:eastAsia="仿宋_GB2312"/>
          <w:sz w:val="32"/>
          <w:szCs w:val="32"/>
        </w:rPr>
        <w:t>GB18599-20</w:t>
      </w:r>
      <w:r>
        <w:rPr>
          <w:rFonts w:hint="default" w:eastAsia="仿宋_GB2312"/>
          <w:sz w:val="32"/>
          <w:szCs w:val="32"/>
          <w:lang w:val="en"/>
        </w:rPr>
        <w:t>20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outlineLvl w:val="9"/>
        <w:rPr>
          <w:rFonts w:hint="eastAsia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《危险废物贮存污染控制标准》（GB18597-2001）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outlineLvl w:val="9"/>
        <w:rPr>
          <w:rFonts w:hint="eastAsia" w:eastAsia="仿宋_GB231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《危险废物收集贮存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运输技术规范》（HJ2025-2012）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此复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600" w:lineRule="exact"/>
        <w:ind w:firstLine="2800" w:firstLineChars="1000"/>
        <w:jc w:val="right"/>
        <w:rPr>
          <w:rFonts w:eastAsia="仿宋_GB2312"/>
          <w:sz w:val="32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</w:rPr>
        <w:t xml:space="preserve">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outlineLvl w:val="9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0" w:firstLineChars="100"/>
        <w:textAlignment w:val="auto"/>
        <w:outlineLvl w:val="9"/>
        <w:rPr>
          <w:rFonts w:eastAsia="仿宋_GB2312"/>
          <w:sz w:val="18"/>
          <w:szCs w:val="18"/>
        </w:rPr>
      </w:pPr>
    </w:p>
    <w:p>
      <w:pPr>
        <w:spacing w:line="680" w:lineRule="exact"/>
        <w:ind w:firstLine="280" w:firstLineChars="1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主题词：环境影响 报告表 批复                   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（共印4份）</w:t>
      </w:r>
    </w:p>
    <w:tbl>
      <w:tblPr>
        <w:tblStyle w:val="6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680" w:lineRule="exact"/>
              <w:ind w:right="160" w:firstLine="280" w:firstLineChars="100"/>
              <w:rPr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>抄  送：天津市滨海新区生态环境局</w:t>
            </w:r>
          </w:p>
        </w:tc>
      </w:tr>
    </w:tbl>
    <w:p>
      <w:pPr>
        <w:ind w:firstLine="280" w:firstLineChars="1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 xml:space="preserve">天津市滨海新区行政审批局             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20</w:t>
      </w:r>
      <w:r>
        <w:rPr>
          <w:rFonts w:hint="eastAsia"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10</w:t>
      </w:r>
      <w:r>
        <w:rPr>
          <w:rFonts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61317"/>
    <w:multiLevelType w:val="singleLevel"/>
    <w:tmpl w:val="60F613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92"/>
    <w:rsid w:val="000052E2"/>
    <w:rsid w:val="00080234"/>
    <w:rsid w:val="000D0BAA"/>
    <w:rsid w:val="000F7AB4"/>
    <w:rsid w:val="001070EC"/>
    <w:rsid w:val="00145F43"/>
    <w:rsid w:val="00152774"/>
    <w:rsid w:val="00180D2F"/>
    <w:rsid w:val="001964EB"/>
    <w:rsid w:val="001A023C"/>
    <w:rsid w:val="00234BD5"/>
    <w:rsid w:val="00254B41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4C5262"/>
    <w:rsid w:val="004D1A4C"/>
    <w:rsid w:val="00531BD1"/>
    <w:rsid w:val="00544DB0"/>
    <w:rsid w:val="00566C93"/>
    <w:rsid w:val="005D266D"/>
    <w:rsid w:val="00631BCE"/>
    <w:rsid w:val="006A0BFE"/>
    <w:rsid w:val="0071652F"/>
    <w:rsid w:val="00745E92"/>
    <w:rsid w:val="007939DD"/>
    <w:rsid w:val="008208B6"/>
    <w:rsid w:val="00863565"/>
    <w:rsid w:val="008B1BF1"/>
    <w:rsid w:val="008F05BC"/>
    <w:rsid w:val="008F2861"/>
    <w:rsid w:val="00921371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1938"/>
    <w:rsid w:val="00AD7A1F"/>
    <w:rsid w:val="00B375DB"/>
    <w:rsid w:val="00B941D8"/>
    <w:rsid w:val="00BF6B0B"/>
    <w:rsid w:val="00C8289E"/>
    <w:rsid w:val="00CA7E14"/>
    <w:rsid w:val="00CE5024"/>
    <w:rsid w:val="00D006C4"/>
    <w:rsid w:val="00D12F65"/>
    <w:rsid w:val="00D52B80"/>
    <w:rsid w:val="00D9001B"/>
    <w:rsid w:val="00DA5608"/>
    <w:rsid w:val="00DD7D5A"/>
    <w:rsid w:val="00DE0B7D"/>
    <w:rsid w:val="00E334F0"/>
    <w:rsid w:val="00E530D0"/>
    <w:rsid w:val="00E630C8"/>
    <w:rsid w:val="00E81FC7"/>
    <w:rsid w:val="00E913AD"/>
    <w:rsid w:val="00EA4EAB"/>
    <w:rsid w:val="00EA51F1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C26E4"/>
    <w:rsid w:val="017D0E60"/>
    <w:rsid w:val="022C4AC3"/>
    <w:rsid w:val="04683D1F"/>
    <w:rsid w:val="06087BC7"/>
    <w:rsid w:val="073E6937"/>
    <w:rsid w:val="07CF6683"/>
    <w:rsid w:val="08C0414A"/>
    <w:rsid w:val="08CC7EF8"/>
    <w:rsid w:val="08D14B1A"/>
    <w:rsid w:val="0A616717"/>
    <w:rsid w:val="0A993ECD"/>
    <w:rsid w:val="0B0D5A13"/>
    <w:rsid w:val="0B6D14B7"/>
    <w:rsid w:val="0BB42B8E"/>
    <w:rsid w:val="0CD243F4"/>
    <w:rsid w:val="0FA859B9"/>
    <w:rsid w:val="0FBF42EC"/>
    <w:rsid w:val="11D91F41"/>
    <w:rsid w:val="126758C9"/>
    <w:rsid w:val="138327ED"/>
    <w:rsid w:val="14367871"/>
    <w:rsid w:val="148814E6"/>
    <w:rsid w:val="16420B4B"/>
    <w:rsid w:val="164A1AEB"/>
    <w:rsid w:val="17B46048"/>
    <w:rsid w:val="184D3DB0"/>
    <w:rsid w:val="194B65CB"/>
    <w:rsid w:val="19B95B36"/>
    <w:rsid w:val="1D673B13"/>
    <w:rsid w:val="1D992813"/>
    <w:rsid w:val="1E860E96"/>
    <w:rsid w:val="1F3259C6"/>
    <w:rsid w:val="217E0DA2"/>
    <w:rsid w:val="220D79D5"/>
    <w:rsid w:val="235F1C43"/>
    <w:rsid w:val="261C2711"/>
    <w:rsid w:val="27DF6D5B"/>
    <w:rsid w:val="290416FB"/>
    <w:rsid w:val="293858F4"/>
    <w:rsid w:val="2A8E570B"/>
    <w:rsid w:val="2B5A4C61"/>
    <w:rsid w:val="2C6664FE"/>
    <w:rsid w:val="2DA85F50"/>
    <w:rsid w:val="2DE85F13"/>
    <w:rsid w:val="2E5F697C"/>
    <w:rsid w:val="2E6F186E"/>
    <w:rsid w:val="315E6D21"/>
    <w:rsid w:val="31E47D3B"/>
    <w:rsid w:val="321C5935"/>
    <w:rsid w:val="329D3404"/>
    <w:rsid w:val="330A7AD7"/>
    <w:rsid w:val="33937C59"/>
    <w:rsid w:val="33CC3E98"/>
    <w:rsid w:val="34C0667B"/>
    <w:rsid w:val="352C4DAB"/>
    <w:rsid w:val="3678062E"/>
    <w:rsid w:val="36D07CDC"/>
    <w:rsid w:val="36F423E6"/>
    <w:rsid w:val="37BF2C83"/>
    <w:rsid w:val="3982447C"/>
    <w:rsid w:val="39CB2C31"/>
    <w:rsid w:val="3A093909"/>
    <w:rsid w:val="3AD02729"/>
    <w:rsid w:val="3E053D44"/>
    <w:rsid w:val="3E6B05F3"/>
    <w:rsid w:val="3F6E116F"/>
    <w:rsid w:val="3FF7F8C2"/>
    <w:rsid w:val="41BA15F9"/>
    <w:rsid w:val="420A2FF8"/>
    <w:rsid w:val="42195A6A"/>
    <w:rsid w:val="426A0A56"/>
    <w:rsid w:val="43AE49AE"/>
    <w:rsid w:val="4470247C"/>
    <w:rsid w:val="44845B5C"/>
    <w:rsid w:val="44F21C4B"/>
    <w:rsid w:val="4578357E"/>
    <w:rsid w:val="45AD6951"/>
    <w:rsid w:val="46824E4F"/>
    <w:rsid w:val="48994A4B"/>
    <w:rsid w:val="48B431C7"/>
    <w:rsid w:val="4AE83298"/>
    <w:rsid w:val="4B106CD2"/>
    <w:rsid w:val="4B544C74"/>
    <w:rsid w:val="4C895B69"/>
    <w:rsid w:val="4D354F41"/>
    <w:rsid w:val="4F016F2E"/>
    <w:rsid w:val="502925FF"/>
    <w:rsid w:val="50D413E4"/>
    <w:rsid w:val="51872AF4"/>
    <w:rsid w:val="51A74419"/>
    <w:rsid w:val="51A96376"/>
    <w:rsid w:val="522654ED"/>
    <w:rsid w:val="5261193E"/>
    <w:rsid w:val="531662A7"/>
    <w:rsid w:val="53333171"/>
    <w:rsid w:val="537F0991"/>
    <w:rsid w:val="56307B26"/>
    <w:rsid w:val="5750757E"/>
    <w:rsid w:val="57D119C1"/>
    <w:rsid w:val="581A10A7"/>
    <w:rsid w:val="59465D4C"/>
    <w:rsid w:val="5CE11D93"/>
    <w:rsid w:val="5D1A2FE5"/>
    <w:rsid w:val="5DAF0219"/>
    <w:rsid w:val="5F9A6485"/>
    <w:rsid w:val="603A2046"/>
    <w:rsid w:val="61140234"/>
    <w:rsid w:val="61F11BB7"/>
    <w:rsid w:val="628A6975"/>
    <w:rsid w:val="63C42AC6"/>
    <w:rsid w:val="657F22F3"/>
    <w:rsid w:val="66694A34"/>
    <w:rsid w:val="686A0B4A"/>
    <w:rsid w:val="68CD0632"/>
    <w:rsid w:val="69C34516"/>
    <w:rsid w:val="6B3FF4C4"/>
    <w:rsid w:val="6BE35B07"/>
    <w:rsid w:val="6CBE07C5"/>
    <w:rsid w:val="6DFA1134"/>
    <w:rsid w:val="6F2605FE"/>
    <w:rsid w:val="6FF3011B"/>
    <w:rsid w:val="706E47D2"/>
    <w:rsid w:val="717F677C"/>
    <w:rsid w:val="71B60E95"/>
    <w:rsid w:val="71F065BA"/>
    <w:rsid w:val="729829D6"/>
    <w:rsid w:val="73067FA2"/>
    <w:rsid w:val="73935D89"/>
    <w:rsid w:val="7458541A"/>
    <w:rsid w:val="7479752E"/>
    <w:rsid w:val="75F3278E"/>
    <w:rsid w:val="76A77C9C"/>
    <w:rsid w:val="76B848CF"/>
    <w:rsid w:val="7773376E"/>
    <w:rsid w:val="77B43EA4"/>
    <w:rsid w:val="78241FCC"/>
    <w:rsid w:val="787E122A"/>
    <w:rsid w:val="78B56081"/>
    <w:rsid w:val="79F26D38"/>
    <w:rsid w:val="7A75589C"/>
    <w:rsid w:val="7D123060"/>
    <w:rsid w:val="7D926341"/>
    <w:rsid w:val="7DB3444A"/>
    <w:rsid w:val="7E54785F"/>
    <w:rsid w:val="7E6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页脚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2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1408</Words>
  <Characters>308</Characters>
  <Lines>2</Lines>
  <Paragraphs>3</Paragraphs>
  <TotalTime>1</TotalTime>
  <ScaleCrop>false</ScaleCrop>
  <LinksUpToDate>false</LinksUpToDate>
  <CharactersWithSpaces>1713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2020-10-22T04:22:00Z</dcterms:created>
  <dc:creator>张明蕾</dc:creator>
  <cp:lastModifiedBy>孙烨</cp:lastModifiedBy>
  <cp:lastPrinted>2020-10-29T05:41:00Z</cp:lastPrinted>
  <dcterms:modified xsi:type="dcterms:W3CDTF">2021-09-13T13:21:17Z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E75C959588904C0AA6494B831620540E</vt:lpwstr>
  </property>
</Properties>
</file>