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360" w:lineRule="auto"/>
        <w:jc w:val="center"/>
        <w:rPr>
          <w:rFonts w:ascii="仿宋_GB2312" w:eastAsia="仿宋_GB2312"/>
          <w:sz w:val="32"/>
          <w:szCs w:val="32"/>
        </w:rPr>
      </w:pPr>
    </w:p>
    <w:p>
      <w:pPr>
        <w:jc w:val="center"/>
        <w:rPr>
          <w:rFonts w:hint="default" w:ascii="Times New Roman" w:hAnsi="Times New Roman" w:eastAsia="仿宋_GB2312" w:cs="Times New Roman"/>
          <w:sz w:val="32"/>
          <w:szCs w:val="32"/>
        </w:rPr>
      </w:pPr>
    </w:p>
    <w:p>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263</w:t>
      </w:r>
      <w:r>
        <w:rPr>
          <w:rFonts w:hint="default" w:ascii="Times New Roman" w:hAnsi="Times New Roman" w:eastAsia="仿宋_GB2312" w:cs="Times New Roman"/>
          <w:sz w:val="32"/>
          <w:szCs w:val="32"/>
        </w:rPr>
        <w:t>号</w:t>
      </w:r>
    </w:p>
    <w:p>
      <w:pPr>
        <w:pStyle w:val="10"/>
        <w:keepNext w:val="0"/>
        <w:keepLines w:val="0"/>
        <w:pageBreakBefore w:val="0"/>
        <w:widowControl w:val="0"/>
        <w:kinsoku/>
        <w:wordWrap/>
        <w:overflowPunct/>
        <w:topLinePunct w:val="0"/>
        <w:autoSpaceDE/>
        <w:autoSpaceDN/>
        <w:bidi w:val="0"/>
        <w:adjustRightInd w:val="0"/>
        <w:snapToGrid/>
        <w:spacing w:line="360" w:lineRule="auto"/>
        <w:jc w:val="center"/>
        <w:textAlignment w:val="baseline"/>
        <w:outlineLvl w:val="9"/>
        <w:rPr>
          <w:rFonts w:hint="eastAsia" w:ascii="Times New Roman" w:hAnsi="Times New Roman" w:eastAsia="仿宋_GB2312" w:cs="Times New Roman"/>
          <w:kern w:val="2"/>
          <w:sz w:val="11"/>
          <w:szCs w:val="11"/>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关于</w:t>
      </w:r>
      <w:r>
        <w:rPr>
          <w:rFonts w:hint="eastAsia" w:eastAsia="方正小标宋简体" w:cs="Times New Roman"/>
          <w:color w:val="000000"/>
          <w:sz w:val="44"/>
          <w:lang w:eastAsia="zh-CN"/>
        </w:rPr>
        <w:t>鑫天久（天津）建材有限公司年产</w:t>
      </w:r>
      <w:r>
        <w:rPr>
          <w:rFonts w:hint="eastAsia" w:eastAsia="方正小标宋简体" w:cs="Times New Roman"/>
          <w:color w:val="000000"/>
          <w:sz w:val="44"/>
          <w:lang w:val="en-US" w:eastAsia="zh-CN"/>
        </w:rPr>
        <w:t>6</w:t>
      </w:r>
      <w:r>
        <w:rPr>
          <w:rFonts w:hint="eastAsia" w:eastAsia="方正小标宋简体" w:cs="Times New Roman"/>
          <w:color w:val="000000"/>
          <w:sz w:val="44"/>
          <w:lang w:eastAsia="zh-CN"/>
        </w:rPr>
        <w:t>万吨水稳项目</w:t>
      </w:r>
      <w:r>
        <w:rPr>
          <w:rFonts w:hint="default" w:ascii="Times New Roman" w:hAnsi="Times New Roman" w:eastAsia="方正小标宋简体" w:cs="Times New Roman"/>
          <w:color w:val="000000"/>
          <w:sz w:val="44"/>
        </w:rPr>
        <w:t>环境影响报告表的批复</w:t>
      </w:r>
    </w:p>
    <w:p>
      <w:pPr>
        <w:keepNext w:val="0"/>
        <w:keepLines w:val="0"/>
        <w:pageBreakBefore w:val="0"/>
        <w:widowControl w:val="0"/>
        <w:kinsoku/>
        <w:wordWrap/>
        <w:overflowPunct/>
        <w:topLinePunct w:val="0"/>
        <w:autoSpaceDE/>
        <w:autoSpaceDN/>
        <w:bidi w:val="0"/>
        <w:snapToGrid/>
        <w:spacing w:line="360" w:lineRule="auto"/>
        <w:textAlignment w:val="baseline"/>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snapToGrid/>
        <w:spacing w:line="360" w:lineRule="auto"/>
        <w:textAlignment w:val="baseline"/>
        <w:outlineLvl w:val="9"/>
        <w:rPr>
          <w:rFonts w:hint="eastAsia" w:eastAsia="仿宋_GB2312" w:cs="Times New Roman"/>
          <w:sz w:val="32"/>
          <w:szCs w:val="32"/>
          <w:lang w:eastAsia="zh-CN"/>
        </w:rPr>
      </w:pPr>
      <w:r>
        <w:rPr>
          <w:rFonts w:hint="eastAsia" w:eastAsia="仿宋_GB2312" w:cs="Times New Roman"/>
          <w:sz w:val="32"/>
          <w:szCs w:val="32"/>
          <w:lang w:eastAsia="zh-CN"/>
        </w:rPr>
        <w:t>鑫天久（天津）建材有限公司：</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outlineLvl w:val="9"/>
        <w:rPr>
          <w:rFonts w:eastAsia="仿宋_GB2312"/>
          <w:sz w:val="32"/>
          <w:szCs w:val="32"/>
        </w:rPr>
      </w:pPr>
      <w:r>
        <w:rPr>
          <w:rFonts w:eastAsia="仿宋_GB2312"/>
          <w:sz w:val="32"/>
          <w:szCs w:val="32"/>
        </w:rPr>
        <w:t>你公司呈报的《</w:t>
      </w:r>
      <w:r>
        <w:rPr>
          <w:rFonts w:hint="eastAsia" w:eastAsia="仿宋_GB2312"/>
          <w:sz w:val="32"/>
          <w:szCs w:val="32"/>
          <w:lang w:eastAsia="zh-CN"/>
        </w:rPr>
        <w:t>年产</w:t>
      </w:r>
      <w:r>
        <w:rPr>
          <w:rFonts w:hint="eastAsia" w:eastAsia="仿宋_GB2312"/>
          <w:sz w:val="32"/>
          <w:szCs w:val="32"/>
          <w:lang w:val="en-US" w:eastAsia="zh-CN"/>
        </w:rPr>
        <w:t>6</w:t>
      </w:r>
      <w:r>
        <w:rPr>
          <w:rFonts w:hint="eastAsia" w:eastAsia="仿宋_GB2312"/>
          <w:sz w:val="32"/>
          <w:szCs w:val="32"/>
          <w:lang w:eastAsia="zh-CN"/>
        </w:rPr>
        <w:t>万吨水稳项目环境影响报告表的请示</w:t>
      </w:r>
      <w:r>
        <w:rPr>
          <w:rFonts w:eastAsia="仿宋_GB2312"/>
          <w:sz w:val="32"/>
          <w:szCs w:val="32"/>
        </w:rPr>
        <w:t>》、</w:t>
      </w:r>
      <w:r>
        <w:rPr>
          <w:rFonts w:hint="eastAsia" w:eastAsia="仿宋_GB2312"/>
          <w:sz w:val="32"/>
          <w:szCs w:val="32"/>
          <w:lang w:eastAsia="zh-CN"/>
        </w:rPr>
        <w:t>中环广源环境工程技术</w:t>
      </w:r>
      <w:r>
        <w:rPr>
          <w:rFonts w:hint="eastAsia" w:eastAsia="仿宋_GB2312"/>
          <w:sz w:val="32"/>
          <w:szCs w:val="32"/>
          <w:lang w:val="en-US" w:eastAsia="zh-CN"/>
        </w:rPr>
        <w:t>有限公司</w:t>
      </w:r>
      <w:r>
        <w:rPr>
          <w:rFonts w:hint="eastAsia" w:eastAsia="仿宋_GB2312"/>
          <w:sz w:val="32"/>
          <w:szCs w:val="32"/>
          <w:lang w:eastAsia="zh-CN"/>
        </w:rPr>
        <w:t>《年产</w:t>
      </w:r>
      <w:r>
        <w:rPr>
          <w:rFonts w:hint="eastAsia" w:eastAsia="仿宋_GB2312"/>
          <w:sz w:val="32"/>
          <w:szCs w:val="32"/>
          <w:lang w:val="en-US" w:eastAsia="zh-CN"/>
        </w:rPr>
        <w:t>6</w:t>
      </w:r>
      <w:r>
        <w:rPr>
          <w:rFonts w:hint="eastAsia" w:eastAsia="仿宋_GB2312"/>
          <w:sz w:val="32"/>
          <w:szCs w:val="32"/>
          <w:lang w:eastAsia="zh-CN"/>
        </w:rPr>
        <w:t>万吨水稳项目</w:t>
      </w:r>
      <w:r>
        <w:rPr>
          <w:rFonts w:hint="eastAsia" w:eastAsia="仿宋_GB2312"/>
          <w:sz w:val="32"/>
          <w:szCs w:val="32"/>
          <w:lang w:val="en-US" w:eastAsia="zh-CN"/>
        </w:rPr>
        <w:t>环境影响报告表</w:t>
      </w:r>
      <w:r>
        <w:rPr>
          <w:rFonts w:hint="eastAsia" w:eastAsia="仿宋_GB2312"/>
          <w:sz w:val="32"/>
          <w:szCs w:val="32"/>
          <w:lang w:eastAsia="zh-CN"/>
        </w:rPr>
        <w:t>》</w:t>
      </w:r>
      <w:r>
        <w:rPr>
          <w:rFonts w:hint="eastAsia" w:eastAsia="仿宋_GB2312"/>
          <w:sz w:val="32"/>
          <w:szCs w:val="32"/>
          <w:lang w:val="en-US" w:eastAsia="zh-CN"/>
        </w:rPr>
        <w:t>等材料</w:t>
      </w:r>
      <w:r>
        <w:rPr>
          <w:rFonts w:hint="eastAsia" w:eastAsia="仿宋_GB2312"/>
          <w:sz w:val="32"/>
          <w:szCs w:val="32"/>
          <w:lang w:eastAsia="zh-CN"/>
        </w:rPr>
        <w:t>收悉。</w:t>
      </w:r>
      <w:r>
        <w:rPr>
          <w:rFonts w:eastAsia="仿宋_GB2312"/>
          <w:sz w:val="32"/>
          <w:szCs w:val="32"/>
        </w:rPr>
        <w:t>经研究，现批复如下：</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eastAsia="仿宋_GB2312"/>
          <w:sz w:val="32"/>
          <w:szCs w:val="32"/>
        </w:rPr>
      </w:pPr>
      <w:r>
        <w:rPr>
          <w:rFonts w:hint="eastAsia" w:eastAsia="仿宋_GB2312"/>
          <w:sz w:val="32"/>
          <w:szCs w:val="32"/>
          <w:lang w:val="en-US" w:eastAsia="zh-CN"/>
        </w:rPr>
        <w:t>一、</w:t>
      </w:r>
      <w:r>
        <w:rPr>
          <w:rFonts w:hint="eastAsia" w:eastAsia="仿宋_GB2312"/>
          <w:sz w:val="32"/>
          <w:szCs w:val="32"/>
          <w:lang w:eastAsia="zh-CN"/>
        </w:rPr>
        <w:t>你公司</w:t>
      </w:r>
      <w:r>
        <w:rPr>
          <w:rFonts w:hint="eastAsia" w:eastAsia="仿宋_GB2312"/>
          <w:sz w:val="32"/>
          <w:szCs w:val="32"/>
          <w:lang w:val="en-US" w:eastAsia="zh-CN"/>
        </w:rPr>
        <w:t>租用</w:t>
      </w:r>
      <w:r>
        <w:rPr>
          <w:rFonts w:eastAsia="仿宋_GB2312"/>
          <w:bCs/>
          <w:sz w:val="32"/>
          <w:szCs w:val="32"/>
        </w:rPr>
        <w:t>位于</w:t>
      </w:r>
      <w:r>
        <w:rPr>
          <w:rFonts w:hint="eastAsia" w:eastAsia="仿宋_GB2312"/>
          <w:bCs/>
          <w:sz w:val="32"/>
          <w:szCs w:val="32"/>
        </w:rPr>
        <w:t>滨海新区</w:t>
      </w:r>
      <w:r>
        <w:rPr>
          <w:rFonts w:hint="eastAsia" w:eastAsia="仿宋_GB2312"/>
          <w:bCs/>
          <w:sz w:val="32"/>
          <w:szCs w:val="32"/>
          <w:lang w:eastAsia="zh-CN"/>
        </w:rPr>
        <w:t>胡家园街港城大道</w:t>
      </w:r>
      <w:r>
        <w:rPr>
          <w:rFonts w:hint="eastAsia" w:eastAsia="仿宋_GB2312"/>
          <w:bCs/>
          <w:sz w:val="32"/>
          <w:szCs w:val="32"/>
          <w:lang w:val="en-US" w:eastAsia="zh-CN"/>
        </w:rPr>
        <w:t>99号西侧-3的厂院，</w:t>
      </w:r>
      <w:r>
        <w:rPr>
          <w:rFonts w:hint="eastAsia" w:eastAsia="仿宋_GB2312"/>
          <w:bCs/>
          <w:sz w:val="32"/>
          <w:szCs w:val="32"/>
          <w:lang w:eastAsia="zh-CN"/>
        </w:rPr>
        <w:t>利用现有厂房，</w:t>
      </w:r>
      <w:r>
        <w:rPr>
          <w:rFonts w:hint="eastAsia" w:eastAsia="仿宋_GB2312"/>
          <w:bCs/>
          <w:sz w:val="32"/>
          <w:szCs w:val="32"/>
        </w:rPr>
        <w:t>新建一条水稳定生产线</w:t>
      </w:r>
      <w:r>
        <w:rPr>
          <w:rFonts w:hint="eastAsia" w:eastAsia="仿宋_GB2312"/>
          <w:sz w:val="32"/>
          <w:szCs w:val="32"/>
          <w:lang w:val="en-US" w:eastAsia="zh-CN"/>
        </w:rPr>
        <w:t>。建设内容主要包括：搅拌机一台，水泥筒仓两个，布袋除尘器一台，现有办公楼内设有食堂，</w:t>
      </w:r>
      <w:r>
        <w:rPr>
          <w:rFonts w:hint="eastAsia" w:eastAsia="仿宋_GB2312"/>
          <w:bCs/>
          <w:sz w:val="32"/>
          <w:szCs w:val="32"/>
        </w:rPr>
        <w:t>设计年产水泥稳定碎石</w:t>
      </w:r>
      <w:r>
        <w:rPr>
          <w:rFonts w:hint="eastAsia" w:eastAsia="仿宋_GB2312"/>
          <w:bCs/>
          <w:sz w:val="32"/>
          <w:szCs w:val="32"/>
          <w:lang w:val="en-US" w:eastAsia="zh-CN"/>
        </w:rPr>
        <w:t>6</w:t>
      </w:r>
      <w:r>
        <w:rPr>
          <w:rFonts w:hint="eastAsia" w:eastAsia="仿宋_GB2312"/>
          <w:bCs/>
          <w:sz w:val="32"/>
          <w:szCs w:val="32"/>
        </w:rPr>
        <w:t>万吨</w:t>
      </w:r>
      <w:r>
        <w:rPr>
          <w:rFonts w:eastAsia="仿宋_GB2312"/>
          <w:bCs/>
          <w:sz w:val="32"/>
          <w:szCs w:val="32"/>
        </w:rPr>
        <w:t>。</w:t>
      </w:r>
      <w:r>
        <w:rPr>
          <w:rFonts w:hint="eastAsia" w:eastAsia="仿宋_GB2312"/>
          <w:sz w:val="32"/>
          <w:szCs w:val="32"/>
          <w:lang w:eastAsia="zh-CN"/>
        </w:rPr>
        <w:t>项目</w:t>
      </w:r>
      <w:r>
        <w:rPr>
          <w:rFonts w:hint="eastAsia" w:eastAsia="仿宋_GB2312"/>
          <w:sz w:val="32"/>
          <w:szCs w:val="32"/>
        </w:rPr>
        <w:t>总投资</w:t>
      </w:r>
      <w:r>
        <w:rPr>
          <w:rFonts w:hint="eastAsia" w:eastAsia="仿宋_GB2312"/>
          <w:sz w:val="32"/>
          <w:szCs w:val="32"/>
          <w:lang w:val="en-US" w:eastAsia="zh-CN"/>
        </w:rPr>
        <w:t>150</w:t>
      </w:r>
      <w:r>
        <w:rPr>
          <w:rFonts w:hint="eastAsia" w:eastAsia="仿宋_GB2312"/>
          <w:sz w:val="32"/>
          <w:szCs w:val="32"/>
        </w:rPr>
        <w:t>万元，</w:t>
      </w:r>
      <w:r>
        <w:rPr>
          <w:rFonts w:eastAsia="仿宋_GB2312"/>
          <w:sz w:val="32"/>
          <w:szCs w:val="32"/>
        </w:rPr>
        <w:t>环保投资</w:t>
      </w:r>
      <w:r>
        <w:rPr>
          <w:rFonts w:hint="eastAsia" w:eastAsia="仿宋_GB2312"/>
          <w:bCs/>
          <w:sz w:val="32"/>
          <w:szCs w:val="32"/>
        </w:rPr>
        <w:t>1</w:t>
      </w:r>
      <w:r>
        <w:rPr>
          <w:rFonts w:hint="eastAsia" w:eastAsia="仿宋_GB2312"/>
          <w:bCs/>
          <w:sz w:val="32"/>
          <w:szCs w:val="32"/>
          <w:lang w:val="en-US" w:eastAsia="zh-CN"/>
        </w:rPr>
        <w:t>5</w:t>
      </w:r>
      <w:r>
        <w:rPr>
          <w:rFonts w:hint="eastAsia" w:eastAsia="仿宋_GB2312"/>
          <w:sz w:val="32"/>
          <w:szCs w:val="32"/>
        </w:rPr>
        <w:t>万元</w:t>
      </w:r>
      <w:r>
        <w:rPr>
          <w:rFonts w:eastAsia="仿宋_GB2312"/>
          <w:sz w:val="32"/>
          <w:szCs w:val="32"/>
        </w:rPr>
        <w:t>，</w:t>
      </w:r>
      <w:r>
        <w:rPr>
          <w:rFonts w:hint="eastAsia" w:eastAsia="仿宋_GB2312"/>
          <w:sz w:val="32"/>
          <w:szCs w:val="32"/>
        </w:rPr>
        <w:t>约占总投资的</w:t>
      </w:r>
      <w:r>
        <w:rPr>
          <w:rFonts w:hint="eastAsia" w:eastAsia="仿宋_GB2312"/>
          <w:bCs/>
          <w:sz w:val="32"/>
          <w:szCs w:val="32"/>
          <w:lang w:val="en-US" w:eastAsia="zh-CN"/>
        </w:rPr>
        <w:t>10</w:t>
      </w:r>
      <w:r>
        <w:rPr>
          <w:rFonts w:hint="eastAsia" w:eastAsia="仿宋_GB2312"/>
          <w:sz w:val="32"/>
          <w:szCs w:val="32"/>
        </w:rPr>
        <w:t>%</w:t>
      </w:r>
      <w:r>
        <w:rPr>
          <w:rFonts w:eastAsia="仿宋_GB2312"/>
          <w:sz w:val="32"/>
          <w:szCs w:val="32"/>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eastAsia="仿宋_GB2312"/>
          <w:sz w:val="32"/>
          <w:szCs w:val="32"/>
        </w:rPr>
      </w:pPr>
      <w:r>
        <w:rPr>
          <w:rFonts w:hint="eastAsia" w:eastAsia="仿宋_GB2312"/>
          <w:sz w:val="32"/>
          <w:szCs w:val="32"/>
          <w:lang w:val="en-US" w:eastAsia="zh-CN"/>
        </w:rPr>
        <w:t>2021年11月11日至11月17日，我局将该项目的环评受理情况进行公示；11月22日至11月26日，将该项目的环评拟批复情况进行公示；根据公众反馈意见情况及环评报告结论，在严格落实环评报告所提出的各</w:t>
      </w:r>
      <w:r>
        <w:rPr>
          <w:rFonts w:eastAsia="仿宋_GB2312"/>
          <w:sz w:val="32"/>
          <w:szCs w:val="32"/>
        </w:rPr>
        <w:t>项污染防治措施、确保各类污染物稳定达标的前提下，该</w:t>
      </w:r>
      <w:r>
        <w:rPr>
          <w:rFonts w:hint="eastAsia" w:eastAsia="仿宋_GB2312"/>
          <w:sz w:val="32"/>
          <w:szCs w:val="32"/>
          <w:lang w:eastAsia="zh-CN"/>
        </w:rPr>
        <w:t>项目</w:t>
      </w:r>
      <w:r>
        <w:rPr>
          <w:rFonts w:hint="eastAsia" w:eastAsia="仿宋_GB2312"/>
          <w:sz w:val="32"/>
          <w:szCs w:val="32"/>
        </w:rPr>
        <w:t>具备环境可行性</w:t>
      </w:r>
      <w:r>
        <w:rPr>
          <w:rFonts w:eastAsia="仿宋_GB2312"/>
          <w:sz w:val="32"/>
          <w:szCs w:val="32"/>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sz w:val="32"/>
          <w:szCs w:val="32"/>
        </w:rPr>
      </w:pPr>
      <w:r>
        <w:rPr>
          <w:rFonts w:eastAsia="仿宋_GB2312"/>
          <w:sz w:val="32"/>
          <w:szCs w:val="32"/>
        </w:rPr>
        <w:t>二、你</w:t>
      </w:r>
      <w:r>
        <w:rPr>
          <w:rFonts w:hint="eastAsia" w:eastAsia="仿宋_GB2312"/>
          <w:sz w:val="32"/>
          <w:szCs w:val="32"/>
        </w:rPr>
        <w:t>公司应重点做好以下工作：</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sz w:val="32"/>
          <w:szCs w:val="32"/>
          <w:lang w:eastAsia="zh-CN"/>
        </w:rPr>
      </w:pPr>
      <w:r>
        <w:rPr>
          <w:rFonts w:hint="eastAsia" w:eastAsia="仿宋_GB2312"/>
          <w:sz w:val="32"/>
          <w:szCs w:val="32"/>
        </w:rPr>
        <w:t>1.施工期间应严格执行国家相关环保法律法规和落实环评报告中提出的污染防范措施：</w:t>
      </w:r>
      <w:r>
        <w:rPr>
          <w:rFonts w:hint="eastAsia" w:eastAsia="仿宋_GB2312"/>
          <w:sz w:val="32"/>
          <w:szCs w:val="32"/>
          <w:lang w:eastAsia="zh-CN"/>
        </w:rPr>
        <w:t>妥善处理</w:t>
      </w:r>
      <w:r>
        <w:rPr>
          <w:rFonts w:hint="eastAsia" w:eastAsia="仿宋_GB2312"/>
          <w:sz w:val="32"/>
          <w:szCs w:val="32"/>
        </w:rPr>
        <w:t>施工</w:t>
      </w:r>
      <w:r>
        <w:rPr>
          <w:rFonts w:hint="eastAsia" w:eastAsia="仿宋_GB2312"/>
          <w:sz w:val="32"/>
          <w:szCs w:val="32"/>
          <w:lang w:eastAsia="zh-CN"/>
        </w:rPr>
        <w:t>产生的施工</w:t>
      </w:r>
      <w:r>
        <w:rPr>
          <w:rFonts w:hint="eastAsia" w:eastAsia="仿宋_GB2312"/>
          <w:sz w:val="32"/>
          <w:szCs w:val="32"/>
        </w:rPr>
        <w:t>废水；</w:t>
      </w:r>
      <w:r>
        <w:rPr>
          <w:rFonts w:hint="eastAsia" w:eastAsia="仿宋_GB2312"/>
          <w:sz w:val="32"/>
          <w:szCs w:val="32"/>
          <w:lang w:eastAsia="zh-CN"/>
        </w:rPr>
        <w:t>合理安排施工时间，加强对高噪声机械的管理。</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bCs/>
          <w:sz w:val="32"/>
          <w:szCs w:val="32"/>
          <w:lang w:eastAsia="zh-CN"/>
        </w:rPr>
      </w:pPr>
      <w:r>
        <w:rPr>
          <w:rFonts w:hint="eastAsia" w:eastAsia="仿宋_GB2312"/>
          <w:sz w:val="32"/>
          <w:szCs w:val="32"/>
          <w:lang w:val="en-US" w:eastAsia="zh-CN"/>
        </w:rPr>
        <w:t>2.对</w:t>
      </w:r>
      <w:r>
        <w:rPr>
          <w:rFonts w:hint="eastAsia" w:eastAsia="仿宋_GB2312"/>
          <w:bCs/>
          <w:sz w:val="32"/>
          <w:szCs w:val="32"/>
        </w:rPr>
        <w:t>水泥</w:t>
      </w:r>
      <w:r>
        <w:rPr>
          <w:rFonts w:hint="eastAsia" w:eastAsia="仿宋_GB2312"/>
          <w:bCs/>
          <w:sz w:val="32"/>
          <w:szCs w:val="32"/>
          <w:lang w:eastAsia="zh-CN"/>
        </w:rPr>
        <w:t>进</w:t>
      </w:r>
      <w:r>
        <w:rPr>
          <w:rFonts w:hint="eastAsia" w:eastAsia="仿宋_GB2312"/>
          <w:bCs/>
          <w:sz w:val="32"/>
          <w:szCs w:val="32"/>
        </w:rPr>
        <w:t>料废气、搅拌机投料和搅拌废气</w:t>
      </w:r>
      <w:r>
        <w:rPr>
          <w:rFonts w:hint="eastAsia" w:eastAsia="仿宋_GB2312"/>
          <w:bCs/>
          <w:sz w:val="32"/>
          <w:szCs w:val="32"/>
          <w:lang w:eastAsia="zh-CN"/>
        </w:rPr>
        <w:t>进行有效</w:t>
      </w:r>
      <w:r>
        <w:rPr>
          <w:rFonts w:hint="eastAsia" w:eastAsia="仿宋_GB2312"/>
          <w:bCs/>
          <w:sz w:val="32"/>
          <w:szCs w:val="32"/>
        </w:rPr>
        <w:t>收集，</w:t>
      </w:r>
      <w:r>
        <w:rPr>
          <w:rFonts w:hint="eastAsia" w:eastAsia="仿宋_GB2312"/>
          <w:bCs/>
          <w:sz w:val="32"/>
          <w:szCs w:val="32"/>
          <w:lang w:eastAsia="zh-CN"/>
        </w:rPr>
        <w:t>经一</w:t>
      </w:r>
      <w:r>
        <w:rPr>
          <w:rFonts w:hint="eastAsia" w:eastAsia="仿宋_GB2312"/>
          <w:bCs/>
          <w:sz w:val="32"/>
          <w:szCs w:val="32"/>
        </w:rPr>
        <w:t>套布袋除尘器处理</w:t>
      </w:r>
      <w:r>
        <w:rPr>
          <w:rFonts w:hint="eastAsia" w:eastAsia="仿宋_GB2312"/>
          <w:bCs/>
          <w:sz w:val="32"/>
          <w:szCs w:val="32"/>
          <w:lang w:eastAsia="zh-CN"/>
        </w:rPr>
        <w:t>后</w:t>
      </w:r>
      <w:r>
        <w:rPr>
          <w:rFonts w:hint="eastAsia" w:eastAsia="仿宋_GB2312"/>
          <w:bCs/>
          <w:sz w:val="32"/>
          <w:szCs w:val="32"/>
        </w:rPr>
        <w:t>，由</w:t>
      </w:r>
      <w:r>
        <w:rPr>
          <w:rFonts w:hint="eastAsia" w:eastAsia="仿宋_GB2312"/>
          <w:bCs/>
          <w:sz w:val="32"/>
          <w:szCs w:val="32"/>
          <w:lang w:eastAsia="zh-CN"/>
        </w:rPr>
        <w:t>一</w:t>
      </w:r>
      <w:r>
        <w:rPr>
          <w:rFonts w:hint="eastAsia" w:eastAsia="仿宋_GB2312"/>
          <w:bCs/>
          <w:sz w:val="32"/>
          <w:szCs w:val="32"/>
        </w:rPr>
        <w:t>根1</w:t>
      </w:r>
      <w:r>
        <w:rPr>
          <w:rFonts w:hint="eastAsia" w:eastAsia="仿宋_GB2312"/>
          <w:bCs/>
          <w:sz w:val="32"/>
          <w:szCs w:val="32"/>
          <w:lang w:val="en-US" w:eastAsia="zh-CN"/>
        </w:rPr>
        <w:t>5</w:t>
      </w:r>
      <w:r>
        <w:rPr>
          <w:rFonts w:hint="eastAsia" w:eastAsia="仿宋_GB2312"/>
          <w:bCs/>
          <w:sz w:val="32"/>
          <w:szCs w:val="32"/>
        </w:rPr>
        <w:t>米高排气筒</w:t>
      </w:r>
      <w:r>
        <w:rPr>
          <w:rFonts w:hint="eastAsia" w:eastAsia="仿宋_GB2312"/>
          <w:bCs/>
          <w:sz w:val="32"/>
          <w:szCs w:val="32"/>
          <w:lang w:val="en-US" w:eastAsia="zh-CN"/>
        </w:rPr>
        <w:t>P1</w:t>
      </w:r>
      <w:r>
        <w:rPr>
          <w:rFonts w:hint="eastAsia" w:eastAsia="仿宋_GB2312"/>
          <w:bCs/>
          <w:sz w:val="32"/>
          <w:szCs w:val="32"/>
          <w:lang w:eastAsia="zh-CN"/>
        </w:rPr>
        <w:t>达标</w:t>
      </w:r>
      <w:r>
        <w:rPr>
          <w:rFonts w:hint="eastAsia" w:eastAsia="仿宋_GB2312"/>
          <w:bCs/>
          <w:sz w:val="32"/>
          <w:szCs w:val="32"/>
        </w:rPr>
        <w:t>排放</w:t>
      </w:r>
      <w:r>
        <w:rPr>
          <w:rFonts w:hint="eastAsia" w:eastAsia="仿宋_GB2312"/>
          <w:bCs/>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default" w:eastAsia="仿宋_GB2312"/>
          <w:sz w:val="32"/>
          <w:szCs w:val="32"/>
          <w:lang w:val="en-US" w:eastAsia="zh-CN"/>
        </w:rPr>
      </w:pPr>
      <w:r>
        <w:rPr>
          <w:rFonts w:hint="eastAsia" w:eastAsia="仿宋_GB2312"/>
          <w:sz w:val="32"/>
          <w:szCs w:val="32"/>
          <w:lang w:val="en-US" w:eastAsia="zh-CN"/>
        </w:rPr>
        <w:t>砂石料存放在厂房内，并通过雾炮和水喷淋设施进一步降尘，确保颗粒物无组织排放厂界达标</w:t>
      </w:r>
      <w:r>
        <w:rPr>
          <w:rFonts w:hint="default" w:eastAsia="仿宋_GB2312"/>
          <w:sz w:val="32"/>
          <w:szCs w:val="32"/>
          <w:lang w:val="en-US" w:eastAsia="zh-CN"/>
        </w:rPr>
        <w:t>。</w:t>
      </w:r>
    </w:p>
    <w:p>
      <w:pPr>
        <w:pStyle w:val="2"/>
        <w:rPr>
          <w:rFonts w:hint="default"/>
          <w:lang w:val="en-US" w:eastAsia="zh-CN"/>
        </w:rPr>
      </w:pPr>
      <w:r>
        <w:rPr>
          <w:rFonts w:hint="eastAsia" w:eastAsia="仿宋_GB2312"/>
          <w:sz w:val="32"/>
          <w:szCs w:val="32"/>
          <w:lang w:val="en-US" w:eastAsia="zh-CN"/>
        </w:rPr>
        <w:t xml:space="preserve">    食堂油烟经高效油烟净化器处理后，由一根不低于15米高的排气筒P2达标排放。</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default" w:eastAsia="仿宋_GB2312"/>
          <w:sz w:val="32"/>
          <w:szCs w:val="32"/>
          <w:lang w:val="en-US" w:eastAsia="zh-CN"/>
        </w:rPr>
      </w:pPr>
      <w:r>
        <w:rPr>
          <w:rFonts w:hint="eastAsia" w:eastAsia="仿宋_GB2312"/>
          <w:sz w:val="32"/>
          <w:szCs w:val="32"/>
          <w:lang w:val="en-US" w:eastAsia="zh-CN"/>
        </w:rPr>
        <w:t>当废气治理设施发生故障时，应及时调整生产</w:t>
      </w:r>
      <w:r>
        <w:rPr>
          <w:rFonts w:hint="eastAsia" w:eastAsia="仿宋_GB2312"/>
          <w:sz w:val="32"/>
          <w:szCs w:val="32"/>
          <w:lang w:eastAsia="zh-CN"/>
        </w:rPr>
        <w:t>，</w:t>
      </w:r>
      <w:r>
        <w:rPr>
          <w:rFonts w:hint="eastAsia" w:eastAsia="仿宋_GB2312"/>
          <w:sz w:val="32"/>
          <w:szCs w:val="32"/>
          <w:lang w:val="en-US" w:eastAsia="zh-CN"/>
        </w:rPr>
        <w:t>停止产尘的生产工序，减少污染物的排放。</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sz w:val="32"/>
          <w:szCs w:val="32"/>
          <w:lang w:val="en-US" w:eastAsia="zh-CN"/>
        </w:rPr>
      </w:pPr>
      <w:r>
        <w:rPr>
          <w:rFonts w:hint="eastAsia" w:eastAsia="仿宋_GB2312"/>
          <w:sz w:val="32"/>
          <w:szCs w:val="32"/>
          <w:lang w:val="en-US" w:eastAsia="zh-CN"/>
        </w:rPr>
        <w:t>3</w:t>
      </w:r>
      <w:r>
        <w:rPr>
          <w:rFonts w:hint="default" w:eastAsia="仿宋_GB2312"/>
          <w:sz w:val="32"/>
          <w:szCs w:val="32"/>
          <w:lang w:val="en-US" w:eastAsia="zh-CN"/>
        </w:rPr>
        <w:t>.</w:t>
      </w:r>
      <w:r>
        <w:rPr>
          <w:rFonts w:hint="eastAsia" w:eastAsia="仿宋_GB2312"/>
          <w:sz w:val="32"/>
          <w:szCs w:val="32"/>
          <w:lang w:val="en-US" w:eastAsia="zh-CN"/>
        </w:rPr>
        <w:t>生活污水和食堂废水暂存后定期清掏；车辆清洗废水、设备清洗水经沉淀后回用于生产，不得外排。</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sz w:val="32"/>
          <w:szCs w:val="32"/>
          <w:lang w:val="en-US" w:eastAsia="zh-CN"/>
        </w:rPr>
      </w:pPr>
      <w:r>
        <w:rPr>
          <w:rFonts w:hint="eastAsia" w:eastAsia="仿宋_GB2312"/>
          <w:sz w:val="32"/>
          <w:szCs w:val="32"/>
          <w:lang w:val="en-US" w:eastAsia="zh-CN"/>
        </w:rPr>
        <w:t>4.</w:t>
      </w:r>
      <w:r>
        <w:rPr>
          <w:rFonts w:hint="default" w:ascii="Times New Roman" w:hAnsi="Times New Roman" w:eastAsia="仿宋_GB2312" w:cs="Times New Roman"/>
          <w:bCs/>
          <w:sz w:val="32"/>
          <w:szCs w:val="32"/>
          <w:lang w:eastAsia="zh-CN"/>
        </w:rPr>
        <w:t>合</w:t>
      </w:r>
      <w:r>
        <w:rPr>
          <w:rFonts w:hint="default" w:ascii="Times New Roman" w:hAnsi="Times New Roman" w:eastAsia="仿宋_GB2312" w:cs="Times New Roman"/>
          <w:color w:val="000000"/>
          <w:sz w:val="32"/>
          <w:szCs w:val="32"/>
          <w:lang w:eastAsia="zh-CN"/>
        </w:rPr>
        <w:t>理布局，选用低噪声设备，并采取隔声降噪措施，保证厂界噪声达标。</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default" w:eastAsia="仿宋_GB2312"/>
          <w:sz w:val="32"/>
          <w:szCs w:val="32"/>
          <w:lang w:val="en-US" w:eastAsia="zh-CN"/>
        </w:rPr>
      </w:pPr>
      <w:r>
        <w:rPr>
          <w:rFonts w:hint="eastAsia" w:eastAsia="仿宋_GB2312"/>
          <w:sz w:val="32"/>
          <w:szCs w:val="32"/>
          <w:lang w:val="en-US" w:eastAsia="zh-CN"/>
        </w:rPr>
        <w:t>5.</w:t>
      </w:r>
      <w:r>
        <w:rPr>
          <w:rFonts w:hint="default" w:eastAsia="仿宋_GB2312"/>
          <w:sz w:val="32"/>
          <w:szCs w:val="32"/>
          <w:lang w:val="en-US" w:eastAsia="zh-CN"/>
        </w:rPr>
        <w:t>做好各类固体废物的收集、贮存、运输和处置，做到资源化、减量化、无害化。</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default" w:eastAsia="仿宋_GB2312"/>
          <w:sz w:val="32"/>
          <w:szCs w:val="32"/>
          <w:lang w:val="en-US" w:eastAsia="zh-CN"/>
        </w:rPr>
      </w:pPr>
      <w:r>
        <w:rPr>
          <w:rFonts w:hint="eastAsia" w:eastAsia="仿宋_GB2312"/>
          <w:sz w:val="32"/>
          <w:szCs w:val="32"/>
          <w:lang w:val="en-US" w:eastAsia="zh-CN"/>
        </w:rPr>
        <w:t>废矿物油、废油桶、含油抹布</w:t>
      </w:r>
      <w:r>
        <w:rPr>
          <w:rFonts w:hint="default" w:eastAsia="仿宋_GB2312"/>
          <w:sz w:val="32"/>
          <w:szCs w:val="32"/>
          <w:lang w:val="en-US" w:eastAsia="zh-CN"/>
        </w:rPr>
        <w:t>等危险废物须按照《危险废物收集贮存运输技术规范》（HJ2025-2012）进行收集、贮存及运输，并交由有相应资质的单位进行处理、处置；危险废物暂存库应按《危险废物贮存污染控制标准》（GB18597-2001）进行建设和管理。</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default" w:eastAsia="仿宋_GB2312"/>
          <w:sz w:val="32"/>
          <w:szCs w:val="32"/>
          <w:lang w:val="en-US" w:eastAsia="zh-CN"/>
        </w:rPr>
      </w:pPr>
      <w:r>
        <w:rPr>
          <w:rFonts w:hint="eastAsia" w:eastAsia="仿宋_GB2312"/>
          <w:sz w:val="32"/>
          <w:szCs w:val="32"/>
          <w:lang w:val="en-US" w:eastAsia="zh-CN"/>
        </w:rPr>
        <w:t>废布袋、废滤芯委托环卫部门清运；除尘灰、沉淀池底砂、清洗设备产生的碎石回用于生产，不得外排。</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sz w:val="32"/>
          <w:szCs w:val="32"/>
          <w:lang w:val="en-US" w:eastAsia="zh-CN"/>
        </w:rPr>
      </w:pPr>
      <w:r>
        <w:rPr>
          <w:rFonts w:hint="eastAsia" w:eastAsia="仿宋_GB2312"/>
          <w:sz w:val="32"/>
          <w:szCs w:val="32"/>
          <w:lang w:val="en-US" w:eastAsia="zh-CN"/>
        </w:rPr>
        <w:t>6.认真落实《天津市涉气工业污染源自动监控系统建设工作方案》的要求，并做好排污口规范化工作：</w:t>
      </w:r>
      <w:r>
        <w:rPr>
          <w:rFonts w:hint="default" w:eastAsia="仿宋_GB2312"/>
          <w:sz w:val="32"/>
          <w:szCs w:val="32"/>
          <w:lang w:val="en-US" w:eastAsia="zh-CN"/>
        </w:rPr>
        <w:t>设置规范的废气采样点，悬挂符合要求的标识牌</w:t>
      </w:r>
      <w:r>
        <w:rPr>
          <w:rFonts w:hint="eastAsia" w:eastAsia="仿宋_GB2312"/>
          <w:sz w:val="32"/>
          <w:szCs w:val="32"/>
          <w:lang w:val="en-US"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sz w:val="32"/>
          <w:szCs w:val="32"/>
          <w:lang w:val="en-US" w:eastAsia="zh-CN"/>
        </w:rPr>
      </w:pPr>
      <w:r>
        <w:rPr>
          <w:rFonts w:hint="eastAsia" w:eastAsia="仿宋_GB2312"/>
          <w:sz w:val="32"/>
          <w:szCs w:val="32"/>
          <w:lang w:val="en-US" w:eastAsia="zh-CN"/>
        </w:rPr>
        <w:t>7.强化各项环境风险防范措施，</w:t>
      </w:r>
      <w:r>
        <w:rPr>
          <w:rFonts w:hint="default" w:ascii="Times New Roman" w:hAnsi="Times New Roman" w:eastAsia="仿宋_GB2312" w:cs="Times New Roman"/>
          <w:bCs/>
          <w:sz w:val="32"/>
          <w:szCs w:val="32"/>
          <w:lang w:val="en-US" w:eastAsia="zh-CN"/>
        </w:rPr>
        <w:t>提高应对突发环境风险事故的处理能力，有效防范环境风险。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eastAsia="仿宋_GB2312"/>
          <w:color w:val="auto"/>
          <w:sz w:val="32"/>
          <w:szCs w:val="32"/>
        </w:rPr>
        <w:t>三</w:t>
      </w:r>
      <w:r>
        <w:rPr>
          <w:rFonts w:hint="default" w:eastAsia="仿宋_GB2312"/>
          <w:color w:val="auto"/>
          <w:sz w:val="32"/>
          <w:szCs w:val="32"/>
        </w:rPr>
        <w:t>、</w:t>
      </w:r>
      <w:r>
        <w:rPr>
          <w:rFonts w:hint="eastAsia" w:eastAsia="仿宋_GB2312"/>
          <w:color w:val="auto"/>
          <w:sz w:val="32"/>
          <w:szCs w:val="32"/>
          <w:lang w:val="en-US" w:eastAsia="zh-CN"/>
        </w:rPr>
        <w:t>项目</w:t>
      </w:r>
      <w:r>
        <w:rPr>
          <w:rFonts w:hint="default" w:ascii="Times New Roman" w:hAnsi="Times New Roman" w:eastAsia="仿宋_GB2312" w:cs="Times New Roman"/>
          <w:sz w:val="32"/>
          <w:szCs w:val="32"/>
        </w:rPr>
        <w:t>不</w:t>
      </w:r>
      <w:r>
        <w:rPr>
          <w:rFonts w:hint="default" w:ascii="Times New Roman" w:hAnsi="Times New Roman" w:eastAsia="仿宋_GB2312" w:cs="Times New Roman"/>
          <w:sz w:val="32"/>
          <w:szCs w:val="32"/>
          <w:lang w:eastAsia="zh-CN"/>
        </w:rPr>
        <w:t>涉及</w:t>
      </w:r>
      <w:r>
        <w:rPr>
          <w:rFonts w:hint="default" w:ascii="Times New Roman" w:hAnsi="Times New Roman" w:eastAsia="仿宋_GB2312" w:cs="Times New Roman"/>
          <w:sz w:val="32"/>
          <w:szCs w:val="32"/>
        </w:rPr>
        <w:t>污染物排放总量。</w:t>
      </w:r>
    </w:p>
    <w:p>
      <w:pPr>
        <w:pStyle w:val="10"/>
        <w:keepNext w:val="0"/>
        <w:keepLines w:val="0"/>
        <w:pageBreakBefore w:val="0"/>
        <w:widowControl w:val="0"/>
        <w:kinsoku/>
        <w:wordWrap/>
        <w:overflowPunct/>
        <w:topLinePunct w:val="0"/>
        <w:autoSpaceDE/>
        <w:autoSpaceDN/>
        <w:bidi w:val="0"/>
        <w:snapToGrid/>
        <w:spacing w:line="360" w:lineRule="auto"/>
        <w:ind w:firstLine="662" w:firstLineChars="207"/>
        <w:outlineLvl w:val="9"/>
        <w:rPr>
          <w:rFonts w:hint="default" w:ascii="Times New Roman" w:hAnsi="Times New Roman" w:eastAsia="仿宋_GB2312" w:cs="Times New Roman"/>
          <w:sz w:val="32"/>
          <w:szCs w:val="32"/>
        </w:rPr>
      </w:pPr>
      <w:r>
        <w:rPr>
          <w:rFonts w:hint="eastAsia" w:ascii="仿宋_GB2312" w:eastAsia="仿宋_GB2312"/>
          <w:color w:val="auto"/>
          <w:sz w:val="32"/>
          <w:szCs w:val="32"/>
        </w:rPr>
        <w:t>四、</w:t>
      </w:r>
      <w:r>
        <w:rPr>
          <w:rFonts w:hint="default" w:ascii="Times New Roman" w:hAnsi="Times New Roman" w:eastAsia="仿宋_GB2312" w:cs="Times New Roman"/>
          <w:sz w:val="32"/>
          <w:szCs w:val="32"/>
        </w:rPr>
        <w:t>项目建设应严格执行环境保护设施与主体工程同时设计、同时施工、同时投产使用的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项目竣工后，按规定的标准和程序开展环境保护验收，经验收合格后方可正式投入</w:t>
      </w:r>
      <w:r>
        <w:rPr>
          <w:rFonts w:hint="eastAsia" w:eastAsia="仿宋_GB2312" w:cs="Times New Roman"/>
          <w:sz w:val="32"/>
          <w:szCs w:val="32"/>
          <w:lang w:val="en-US" w:eastAsia="zh-CN"/>
        </w:rPr>
        <w:t>生产</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你公司在</w:t>
      </w:r>
      <w:r>
        <w:rPr>
          <w:rFonts w:hint="eastAsia" w:eastAsia="仿宋_GB2312" w:cs="Times New Roman"/>
          <w:sz w:val="32"/>
          <w:szCs w:val="32"/>
          <w:lang w:val="en-US" w:eastAsia="zh-CN"/>
        </w:rPr>
        <w:t>该项目</w:t>
      </w:r>
      <w:r>
        <w:rPr>
          <w:rFonts w:hint="default" w:ascii="Times New Roman" w:hAnsi="Times New Roman" w:eastAsia="仿宋_GB2312" w:cs="Times New Roman"/>
          <w:sz w:val="32"/>
          <w:szCs w:val="32"/>
          <w:lang w:eastAsia="zh-CN"/>
        </w:rPr>
        <w:t>启动生产设施或者发生实际排污之前，</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eastAsia="zh-CN"/>
        </w:rPr>
        <w:t>按照法律法规要求，做好排污许可管理相关工作；</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pPr>
        <w:pStyle w:val="10"/>
        <w:keepNext w:val="0"/>
        <w:keepLines w:val="0"/>
        <w:pageBreakBefore w:val="0"/>
        <w:widowControl w:val="0"/>
        <w:kinsoku/>
        <w:wordWrap/>
        <w:overflowPunct/>
        <w:topLinePunct w:val="0"/>
        <w:autoSpaceDE/>
        <w:autoSpaceDN/>
        <w:bidi w:val="0"/>
        <w:snapToGrid/>
        <w:spacing w:line="360" w:lineRule="auto"/>
        <w:ind w:firstLine="662" w:firstLineChars="207"/>
        <w:outlineLvl w:val="9"/>
        <w:rPr>
          <w:rFonts w:eastAsia="仿宋_GB2312"/>
          <w:color w:val="auto"/>
          <w:sz w:val="32"/>
          <w:szCs w:val="32"/>
        </w:rPr>
      </w:pPr>
      <w:r>
        <w:rPr>
          <w:rFonts w:hint="eastAsia" w:eastAsia="仿宋_GB2312" w:cs="Times New Roman"/>
          <w:sz w:val="32"/>
          <w:szCs w:val="32"/>
          <w:lang w:val="en-US" w:eastAsia="zh-CN"/>
        </w:rPr>
        <w:t>五、</w:t>
      </w:r>
      <w:r>
        <w:rPr>
          <w:rFonts w:hint="eastAsia" w:eastAsia="仿宋_GB2312"/>
          <w:color w:val="auto"/>
          <w:sz w:val="32"/>
          <w:szCs w:val="32"/>
          <w:lang w:eastAsia="zh-CN"/>
        </w:rPr>
        <w:t>项目</w:t>
      </w:r>
      <w:r>
        <w:rPr>
          <w:rFonts w:hint="eastAsia" w:eastAsia="仿宋_GB2312"/>
          <w:color w:val="auto"/>
          <w:sz w:val="32"/>
          <w:szCs w:val="32"/>
        </w:rPr>
        <w:t>应执行以下标准：</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eastAsia" w:eastAsia="仿宋_GB2312"/>
          <w:color w:val="auto"/>
          <w:sz w:val="32"/>
          <w:szCs w:val="32"/>
        </w:rPr>
        <w:t>1.</w:t>
      </w:r>
      <w:r>
        <w:rPr>
          <w:rFonts w:hint="eastAsia" w:eastAsia="仿宋_GB2312" w:cs="Times New Roman"/>
          <w:color w:val="auto"/>
          <w:sz w:val="32"/>
          <w:szCs w:val="32"/>
          <w:lang w:val="en-US" w:eastAsia="zh-CN"/>
        </w:rPr>
        <w:t>《水泥工业大气污染物排放标准》（GB4915-2013）；</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2.《餐饮业油烟排放标准》（DB12/644-2016）</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color w:val="auto"/>
          <w:sz w:val="32"/>
          <w:szCs w:val="32"/>
          <w:lang w:eastAsia="zh-CN"/>
        </w:rPr>
      </w:pPr>
      <w:r>
        <w:rPr>
          <w:rFonts w:hint="eastAsia" w:eastAsia="仿宋_GB2312" w:cs="Times New Roman"/>
          <w:color w:val="auto"/>
          <w:sz w:val="32"/>
          <w:szCs w:val="32"/>
          <w:lang w:val="en-US" w:eastAsia="zh-CN"/>
        </w:rPr>
        <w:t>3.</w:t>
      </w:r>
      <w:r>
        <w:rPr>
          <w:rFonts w:hint="eastAsia" w:eastAsia="仿宋_GB2312"/>
          <w:color w:val="auto"/>
          <w:sz w:val="32"/>
          <w:szCs w:val="32"/>
        </w:rPr>
        <w:t>《工业企业厂界环境噪声排放标准》（GB12348-2008）</w:t>
      </w:r>
      <w:r>
        <w:rPr>
          <w:rFonts w:hint="eastAsia" w:eastAsia="仿宋_GB2312"/>
          <w:color w:val="auto"/>
          <w:sz w:val="32"/>
          <w:szCs w:val="32"/>
          <w:lang w:val="en-US" w:eastAsia="zh-CN"/>
        </w:rPr>
        <w:t>2</w:t>
      </w:r>
      <w:r>
        <w:rPr>
          <w:rFonts w:hint="eastAsia" w:eastAsia="仿宋_GB2312"/>
          <w:color w:val="auto"/>
          <w:sz w:val="32"/>
          <w:szCs w:val="32"/>
        </w:rPr>
        <w:t>类</w:t>
      </w:r>
      <w:r>
        <w:rPr>
          <w:rFonts w:hint="eastAsia" w:eastAsia="仿宋_GB2312"/>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30"/>
        <w:textAlignment w:val="baseline"/>
        <w:outlineLvl w:val="9"/>
        <w:rPr>
          <w:rFonts w:hint="eastAsia" w:eastAsia="仿宋_GB2312"/>
          <w:color w:val="auto"/>
          <w:sz w:val="32"/>
          <w:szCs w:val="32"/>
          <w:lang w:eastAsia="zh-CN"/>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《危险废物贮存污染控制标准》（GB18597-2001）</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30"/>
        <w:textAlignment w:val="baseline"/>
        <w:outlineLvl w:val="9"/>
        <w:rPr>
          <w:rFonts w:hint="eastAsia" w:eastAsia="仿宋_GB2312"/>
          <w:color w:val="auto"/>
          <w:sz w:val="32"/>
          <w:szCs w:val="32"/>
          <w:lang w:val="en-US" w:eastAsia="zh-CN"/>
        </w:rPr>
      </w:pPr>
      <w:r>
        <w:rPr>
          <w:rFonts w:hint="eastAsia" w:eastAsia="仿宋_GB2312"/>
          <w:color w:val="auto"/>
          <w:sz w:val="32"/>
          <w:szCs w:val="32"/>
          <w:lang w:val="en-US" w:eastAsia="zh-CN"/>
        </w:rPr>
        <w:t>5.</w:t>
      </w:r>
      <w:r>
        <w:rPr>
          <w:rFonts w:hint="default" w:ascii="Times New Roman" w:hAnsi="Times New Roman" w:eastAsia="仿宋_GB2312" w:cs="Times New Roman"/>
          <w:color w:val="auto"/>
          <w:sz w:val="32"/>
          <w:szCs w:val="32"/>
          <w:lang w:eastAsia="zh-CN"/>
        </w:rPr>
        <w:t>《危险废物收集贮存</w:t>
      </w:r>
      <w:r>
        <w:rPr>
          <w:rFonts w:hint="default" w:ascii="Times New Roman" w:hAnsi="Times New Roman" w:eastAsia="仿宋_GB2312" w:cs="Times New Roman"/>
          <w:color w:val="auto"/>
          <w:sz w:val="32"/>
          <w:szCs w:val="32"/>
        </w:rPr>
        <w:t>运输技术规范》（HJ2025-2012）</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30"/>
        <w:textAlignment w:val="baseline"/>
        <w:outlineLvl w:val="9"/>
        <w:rPr>
          <w:rFonts w:hint="eastAsia" w:eastAsia="仿宋_GB2312"/>
          <w:color w:val="auto"/>
          <w:sz w:val="32"/>
          <w:szCs w:val="32"/>
          <w:lang w:eastAsia="zh-CN"/>
        </w:rPr>
      </w:pPr>
      <w:r>
        <w:rPr>
          <w:rFonts w:hint="eastAsia" w:eastAsia="仿宋_GB2312"/>
          <w:color w:val="auto"/>
          <w:sz w:val="32"/>
          <w:szCs w:val="32"/>
          <w:lang w:val="en-US" w:eastAsia="zh-CN"/>
        </w:rPr>
        <w:t>6.</w:t>
      </w:r>
      <w:r>
        <w:rPr>
          <w:rFonts w:hint="eastAsia" w:eastAsia="仿宋_GB2312"/>
          <w:sz w:val="32"/>
          <w:szCs w:val="32"/>
        </w:rPr>
        <w:t>《</w:t>
      </w:r>
      <w:r>
        <w:rPr>
          <w:rFonts w:eastAsia="仿宋_GB2312"/>
          <w:sz w:val="32"/>
          <w:szCs w:val="32"/>
        </w:rPr>
        <w:t>一般工业固体废物贮存</w:t>
      </w:r>
      <w:r>
        <w:rPr>
          <w:rFonts w:hint="eastAsia" w:eastAsia="仿宋_GB2312"/>
          <w:sz w:val="32"/>
          <w:szCs w:val="32"/>
          <w:lang w:eastAsia="zh-CN"/>
        </w:rPr>
        <w:t>和填埋</w:t>
      </w:r>
      <w:r>
        <w:rPr>
          <w:rFonts w:eastAsia="仿宋_GB2312"/>
          <w:sz w:val="32"/>
          <w:szCs w:val="32"/>
        </w:rPr>
        <w:t>污染控制标准</w:t>
      </w:r>
      <w:r>
        <w:rPr>
          <w:rFonts w:hint="eastAsia" w:eastAsia="仿宋_GB2312"/>
          <w:sz w:val="32"/>
          <w:szCs w:val="32"/>
        </w:rPr>
        <w:t>》（</w:t>
      </w:r>
      <w:r>
        <w:rPr>
          <w:rFonts w:eastAsia="仿宋_GB2312"/>
          <w:sz w:val="32"/>
          <w:szCs w:val="32"/>
        </w:rPr>
        <w:t>GB18599-20</w:t>
      </w:r>
      <w:r>
        <w:rPr>
          <w:rFonts w:hint="default" w:eastAsia="仿宋_GB2312"/>
          <w:sz w:val="32"/>
          <w:szCs w:val="32"/>
          <w:lang w:val="en"/>
        </w:rPr>
        <w:t>20</w:t>
      </w:r>
      <w:r>
        <w:rPr>
          <w:rFonts w:hint="eastAsia" w:eastAsia="仿宋_GB2312"/>
          <w:sz w:val="32"/>
          <w:szCs w:val="32"/>
        </w:rPr>
        <w:t>）</w:t>
      </w:r>
      <w:r>
        <w:rPr>
          <w:rFonts w:hint="eastAsia" w:eastAsia="仿宋_GB2312"/>
          <w:color w:val="auto"/>
          <w:sz w:val="32"/>
          <w:szCs w:val="32"/>
          <w:lang w:eastAsia="zh-CN"/>
        </w:rPr>
        <w:t>；</w:t>
      </w:r>
    </w:p>
    <w:p>
      <w:pPr>
        <w:pStyle w:val="2"/>
        <w:pageBreakBefore w:val="0"/>
        <w:widowControl w:val="0"/>
        <w:kinsoku/>
        <w:overflowPunct/>
        <w:topLinePunct w:val="0"/>
        <w:autoSpaceDE/>
        <w:autoSpaceDN/>
        <w:bidi w:val="0"/>
        <w:snapToGrid/>
        <w:spacing w:line="360" w:lineRule="auto"/>
        <w:rPr>
          <w:rFonts w:hint="eastAsia" w:eastAsia="仿宋_GB2312"/>
          <w:lang w:val="en-US" w:eastAsia="zh-CN"/>
        </w:rPr>
      </w:pPr>
      <w:r>
        <w:rPr>
          <w:rFonts w:hint="eastAsia" w:eastAsia="仿宋_GB2312"/>
          <w:color w:val="auto"/>
          <w:sz w:val="32"/>
          <w:szCs w:val="32"/>
          <w:lang w:val="en-US" w:eastAsia="zh-CN"/>
        </w:rPr>
        <w:t xml:space="preserve">    7.</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color w:val="auto"/>
          <w:sz w:val="32"/>
          <w:szCs w:val="32"/>
          <w:lang w:eastAsia="zh-CN"/>
        </w:rPr>
      </w:pPr>
      <w:r>
        <w:rPr>
          <w:rFonts w:hint="eastAsia" w:eastAsia="仿宋_GB2312"/>
          <w:color w:val="auto"/>
          <w:sz w:val="32"/>
          <w:szCs w:val="32"/>
        </w:rPr>
        <w:t>此复</w:t>
      </w:r>
      <w:r>
        <w:rPr>
          <w:rFonts w:hint="eastAsia" w:eastAsia="仿宋_GB2312"/>
          <w:color w:val="auto"/>
          <w:sz w:val="32"/>
          <w:szCs w:val="32"/>
          <w:lang w:eastAsia="zh-CN"/>
        </w:rPr>
        <w:t>。</w:t>
      </w:r>
    </w:p>
    <w:p>
      <w:pPr>
        <w:pStyle w:val="2"/>
        <w:rPr>
          <w:rFonts w:hint="eastAsia" w:eastAsia="仿宋_GB2312"/>
          <w:color w:val="auto"/>
          <w:sz w:val="32"/>
          <w:szCs w:val="32"/>
        </w:rPr>
      </w:pPr>
    </w:p>
    <w:p>
      <w:pPr>
        <w:rPr>
          <w:rFonts w:hint="eastAsia" w:eastAsia="仿宋_GB2312"/>
          <w:color w:val="auto"/>
          <w:sz w:val="32"/>
          <w:szCs w:val="32"/>
        </w:rPr>
      </w:pPr>
    </w:p>
    <w:p>
      <w:pPr>
        <w:pStyle w:val="2"/>
        <w:rPr>
          <w:rFonts w:hint="eastAsia"/>
        </w:rPr>
      </w:pPr>
    </w:p>
    <w:p>
      <w:pPr>
        <w:keepNext w:val="0"/>
        <w:keepLines w:val="0"/>
        <w:pageBreakBefore w:val="0"/>
        <w:widowControl w:val="0"/>
        <w:kinsoku/>
        <w:wordWrap w:val="0"/>
        <w:overflowPunct/>
        <w:topLinePunct w:val="0"/>
        <w:autoSpaceDE/>
        <w:autoSpaceDN/>
        <w:bidi w:val="0"/>
        <w:snapToGrid/>
        <w:spacing w:line="360" w:lineRule="auto"/>
        <w:jc w:val="right"/>
        <w:textAlignment w:val="baseline"/>
        <w:outlineLvl w:val="9"/>
        <w:rPr>
          <w:rFonts w:hint="eastAsia" w:eastAsia="仿宋_GB2312" w:cs="Times New Roman"/>
          <w:sz w:val="32"/>
          <w:szCs w:val="32"/>
          <w:lang w:val="en-US" w:eastAsia="zh-CN"/>
        </w:rPr>
      </w:pP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29</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 xml:space="preserve">    </w:t>
      </w:r>
    </w:p>
    <w:p>
      <w:pPr>
        <w:pStyle w:val="2"/>
        <w:wordWrap/>
        <w:rPr>
          <w:rFonts w:hint="eastAsia" w:eastAsia="仿宋_GB2312" w:cs="Times New Roman"/>
          <w:sz w:val="32"/>
          <w:szCs w:val="32"/>
          <w:lang w:val="en-US" w:eastAsia="zh-CN"/>
        </w:rPr>
      </w:pPr>
    </w:p>
    <w:p>
      <w:pPr>
        <w:rPr>
          <w:rFonts w:hint="eastAsia" w:eastAsia="仿宋_GB2312" w:cs="Times New Roman"/>
          <w:sz w:val="32"/>
          <w:szCs w:val="32"/>
          <w:lang w:val="en-US" w:eastAsia="zh-CN"/>
        </w:rPr>
      </w:pPr>
    </w:p>
    <w:p>
      <w:pPr>
        <w:pStyle w:val="2"/>
        <w:rPr>
          <w:rFonts w:hint="eastAsia" w:eastAsia="仿宋_GB2312" w:cs="Times New Roman"/>
          <w:sz w:val="32"/>
          <w:szCs w:val="32"/>
          <w:lang w:val="en-US" w:eastAsia="zh-CN"/>
        </w:rPr>
      </w:pPr>
    </w:p>
    <w:p>
      <w:pPr>
        <w:rPr>
          <w:rFonts w:hint="eastAsia" w:eastAsia="仿宋_GB2312" w:cs="Times New Roman"/>
          <w:sz w:val="32"/>
          <w:szCs w:val="32"/>
          <w:lang w:val="en-US" w:eastAsia="zh-CN"/>
        </w:rPr>
      </w:pPr>
    </w:p>
    <w:p>
      <w:pPr>
        <w:pStyle w:val="2"/>
        <w:rPr>
          <w:rFonts w:hint="eastAsia" w:eastAsia="仿宋_GB2312" w:cs="Times New Roman"/>
          <w:sz w:val="32"/>
          <w:szCs w:val="32"/>
          <w:lang w:val="en-US" w:eastAsia="zh-CN"/>
        </w:rPr>
      </w:pPr>
    </w:p>
    <w:p>
      <w:pPr>
        <w:rPr>
          <w:rFonts w:hint="eastAsia" w:eastAsia="仿宋_GB2312" w:cs="Times New Roman"/>
          <w:sz w:val="32"/>
          <w:szCs w:val="32"/>
          <w:lang w:val="en-US" w:eastAsia="zh-CN"/>
        </w:rPr>
      </w:pPr>
    </w:p>
    <w:p>
      <w:pPr>
        <w:rPr>
          <w:rFonts w:hint="eastAsia" w:eastAsia="仿宋_GB2312" w:cs="Times New Roman"/>
          <w:sz w:val="32"/>
          <w:szCs w:val="32"/>
          <w:lang w:val="en-US" w:eastAsia="zh-CN"/>
        </w:rPr>
      </w:pPr>
    </w:p>
    <w:p>
      <w:pPr>
        <w:spacing w:line="680" w:lineRule="exact"/>
        <w:ind w:firstLine="280" w:firstLineChars="1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主题词：环境影响 报告</w:t>
      </w:r>
      <w:r>
        <w:rPr>
          <w:rFonts w:hint="default" w:ascii="Times New Roman" w:hAnsi="Times New Roman" w:eastAsia="仿宋_GB2312" w:cs="Times New Roman"/>
          <w:sz w:val="28"/>
          <w:szCs w:val="28"/>
          <w:highlight w:val="none"/>
          <w:lang w:eastAsia="zh-CN"/>
        </w:rPr>
        <w:t>表</w:t>
      </w:r>
      <w:r>
        <w:rPr>
          <w:rFonts w:hint="default" w:ascii="Times New Roman" w:hAnsi="Times New Roman" w:eastAsia="仿宋_GB2312" w:cs="Times New Roman"/>
          <w:sz w:val="28"/>
          <w:szCs w:val="28"/>
          <w:highlight w:val="none"/>
        </w:rPr>
        <w:t xml:space="preserve"> 批复                  </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 （共印4份）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firstLine="280" w:firstLineChars="100"/>
              <w:rPr>
                <w:rFonts w:hint="default" w:ascii="Times New Roman" w:hAnsi="Times New Roman" w:cs="Times New Roman"/>
                <w:sz w:val="32"/>
                <w:highlight w:val="none"/>
              </w:rPr>
            </w:pPr>
            <w:r>
              <w:rPr>
                <w:rFonts w:hint="default" w:ascii="Times New Roman" w:hAnsi="Times New Roman" w:eastAsia="仿宋_GB2312" w:cs="Times New Roman"/>
                <w:sz w:val="28"/>
                <w:szCs w:val="28"/>
                <w:highlight w:val="none"/>
              </w:rPr>
              <w:t>抄</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送：天津市滨海新区生态环境局</w:t>
            </w:r>
          </w:p>
        </w:tc>
      </w:tr>
    </w:tbl>
    <w:p>
      <w:pPr>
        <w:ind w:firstLine="280" w:firstLineChars="100"/>
        <w:rPr>
          <w:rFonts w:hint="eastAsia" w:ascii="仿宋_GB2312" w:eastAsia="仿宋_GB2312"/>
          <w:sz w:val="32"/>
          <w:szCs w:val="32"/>
          <w:lang w:val="en-US" w:eastAsia="zh-CN"/>
        </w:rPr>
      </w:pPr>
      <w:r>
        <w:rPr>
          <w:rFonts w:hint="default" w:ascii="Times New Roman" w:hAnsi="Times New Roman" w:eastAsia="仿宋_GB2312" w:cs="Times New Roman"/>
          <w:sz w:val="28"/>
          <w:szCs w:val="28"/>
          <w:highlight w:val="none"/>
        </w:rPr>
        <w:t xml:space="preserve">天津市滨海新区行政审批局           </w:t>
      </w:r>
      <w:bookmarkStart w:id="0" w:name="_GoBack"/>
      <w:bookmarkEnd w:id="0"/>
      <w:r>
        <w:rPr>
          <w:rFonts w:hint="default" w:ascii="Times New Roman" w:hAnsi="Times New Roman" w:eastAsia="仿宋_GB2312" w:cs="Times New Roman"/>
          <w:sz w:val="28"/>
          <w:szCs w:val="28"/>
          <w:highlight w:val="none"/>
          <w:lang w:val="en-US" w:eastAsia="zh-CN"/>
        </w:rPr>
        <w:t xml:space="preserve"> </w:t>
      </w:r>
      <w:r>
        <w:rPr>
          <w:rFonts w:hint="eastAsia"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en-US" w:eastAsia="zh-CN"/>
        </w:rPr>
        <w:t>20</w:t>
      </w:r>
      <w:r>
        <w:rPr>
          <w:rFonts w:hint="eastAsia" w:eastAsia="仿宋_GB2312" w:cs="Times New Roman"/>
          <w:sz w:val="28"/>
          <w:szCs w:val="28"/>
          <w:highlight w:val="none"/>
          <w:lang w:val="en-US" w:eastAsia="zh-CN"/>
        </w:rPr>
        <w:t>21</w:t>
      </w:r>
      <w:r>
        <w:rPr>
          <w:rFonts w:hint="default" w:ascii="Times New Roman" w:hAnsi="Times New Roman" w:eastAsia="仿宋_GB2312" w:cs="Times New Roman"/>
          <w:sz w:val="28"/>
          <w:szCs w:val="28"/>
          <w:highlight w:val="none"/>
        </w:rPr>
        <w:t>年</w:t>
      </w:r>
      <w:r>
        <w:rPr>
          <w:rFonts w:hint="eastAsia" w:eastAsia="仿宋_GB2312" w:cs="Times New Roman"/>
          <w:sz w:val="28"/>
          <w:szCs w:val="28"/>
          <w:highlight w:val="none"/>
          <w:lang w:val="en-US" w:eastAsia="zh-CN"/>
        </w:rPr>
        <w:t>11</w:t>
      </w:r>
      <w:r>
        <w:rPr>
          <w:rFonts w:hint="default" w:ascii="Times New Roman" w:hAnsi="Times New Roman" w:eastAsia="仿宋_GB2312" w:cs="Times New Roman"/>
          <w:sz w:val="28"/>
          <w:szCs w:val="28"/>
          <w:highlight w:val="none"/>
        </w:rPr>
        <w:t>月</w:t>
      </w:r>
      <w:r>
        <w:rPr>
          <w:rFonts w:hint="eastAsia" w:eastAsia="仿宋_GB2312" w:cs="Times New Roman"/>
          <w:sz w:val="28"/>
          <w:szCs w:val="28"/>
          <w:highlight w:val="none"/>
          <w:lang w:val="en-US" w:eastAsia="zh-CN"/>
        </w:rPr>
        <w:t>29</w:t>
      </w:r>
      <w:r>
        <w:rPr>
          <w:rFonts w:hint="default" w:ascii="Times New Roman" w:hAnsi="Times New Roman" w:eastAsia="仿宋_GB2312" w:cs="Times New Roman"/>
          <w:sz w:val="28"/>
          <w:szCs w:val="28"/>
          <w:highlight w:val="none"/>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605565"/>
    <w:rsid w:val="017D0E60"/>
    <w:rsid w:val="022C4AC3"/>
    <w:rsid w:val="03171546"/>
    <w:rsid w:val="031C0752"/>
    <w:rsid w:val="03EA0063"/>
    <w:rsid w:val="05FA65C2"/>
    <w:rsid w:val="079075EF"/>
    <w:rsid w:val="07CF6683"/>
    <w:rsid w:val="08CC7EF8"/>
    <w:rsid w:val="09EF254A"/>
    <w:rsid w:val="0A616717"/>
    <w:rsid w:val="0A7B58F8"/>
    <w:rsid w:val="0A993ECD"/>
    <w:rsid w:val="0AFD432E"/>
    <w:rsid w:val="0B0D5A13"/>
    <w:rsid w:val="0B6D14B7"/>
    <w:rsid w:val="0C8A0E0C"/>
    <w:rsid w:val="0D777966"/>
    <w:rsid w:val="0DA17C0A"/>
    <w:rsid w:val="0E491814"/>
    <w:rsid w:val="0FA859B9"/>
    <w:rsid w:val="0FBF42EC"/>
    <w:rsid w:val="10BE485E"/>
    <w:rsid w:val="11D91F41"/>
    <w:rsid w:val="124C5D5E"/>
    <w:rsid w:val="126758C9"/>
    <w:rsid w:val="12D910F7"/>
    <w:rsid w:val="131E4EB5"/>
    <w:rsid w:val="138327ED"/>
    <w:rsid w:val="13CE5020"/>
    <w:rsid w:val="14367871"/>
    <w:rsid w:val="14970118"/>
    <w:rsid w:val="1518002A"/>
    <w:rsid w:val="151E657B"/>
    <w:rsid w:val="15A940F9"/>
    <w:rsid w:val="16420B4B"/>
    <w:rsid w:val="164A154B"/>
    <w:rsid w:val="167A4056"/>
    <w:rsid w:val="16E80853"/>
    <w:rsid w:val="17977B39"/>
    <w:rsid w:val="179A0047"/>
    <w:rsid w:val="17B46048"/>
    <w:rsid w:val="184D3DB0"/>
    <w:rsid w:val="18B8175D"/>
    <w:rsid w:val="19827E91"/>
    <w:rsid w:val="198B1552"/>
    <w:rsid w:val="19B95B36"/>
    <w:rsid w:val="19C23FA1"/>
    <w:rsid w:val="1A1C6574"/>
    <w:rsid w:val="1A506E53"/>
    <w:rsid w:val="1D992813"/>
    <w:rsid w:val="1E742A13"/>
    <w:rsid w:val="1E8563FC"/>
    <w:rsid w:val="1E860E96"/>
    <w:rsid w:val="1F3259C6"/>
    <w:rsid w:val="1FC313F6"/>
    <w:rsid w:val="217E0DA2"/>
    <w:rsid w:val="21BE770D"/>
    <w:rsid w:val="21D74401"/>
    <w:rsid w:val="22092006"/>
    <w:rsid w:val="220D79D5"/>
    <w:rsid w:val="22853E7A"/>
    <w:rsid w:val="235F1C43"/>
    <w:rsid w:val="23F866B6"/>
    <w:rsid w:val="246A2FBE"/>
    <w:rsid w:val="246C4273"/>
    <w:rsid w:val="246E51C2"/>
    <w:rsid w:val="25930AA1"/>
    <w:rsid w:val="261C2711"/>
    <w:rsid w:val="26333F5B"/>
    <w:rsid w:val="264C63DC"/>
    <w:rsid w:val="27DF6D5B"/>
    <w:rsid w:val="28A50490"/>
    <w:rsid w:val="290416FB"/>
    <w:rsid w:val="2A2C5413"/>
    <w:rsid w:val="2A2E31FE"/>
    <w:rsid w:val="2A683397"/>
    <w:rsid w:val="2A8E570B"/>
    <w:rsid w:val="2B1545A3"/>
    <w:rsid w:val="2B5A4C61"/>
    <w:rsid w:val="2C487F7D"/>
    <w:rsid w:val="2DA85F50"/>
    <w:rsid w:val="2DE24EEA"/>
    <w:rsid w:val="2DE85F13"/>
    <w:rsid w:val="2EA375BB"/>
    <w:rsid w:val="2EC13DAF"/>
    <w:rsid w:val="2FDA496E"/>
    <w:rsid w:val="3026509F"/>
    <w:rsid w:val="30CB4547"/>
    <w:rsid w:val="30F47DC0"/>
    <w:rsid w:val="31C439B0"/>
    <w:rsid w:val="31D3618D"/>
    <w:rsid w:val="31E47D3B"/>
    <w:rsid w:val="31F923C6"/>
    <w:rsid w:val="330A7AD7"/>
    <w:rsid w:val="33937C59"/>
    <w:rsid w:val="33CC3E98"/>
    <w:rsid w:val="342E48E5"/>
    <w:rsid w:val="34D7709C"/>
    <w:rsid w:val="34DD613F"/>
    <w:rsid w:val="3536679E"/>
    <w:rsid w:val="3678062E"/>
    <w:rsid w:val="367A0370"/>
    <w:rsid w:val="37FD68A6"/>
    <w:rsid w:val="393B4C3B"/>
    <w:rsid w:val="3982447C"/>
    <w:rsid w:val="3CF25AAD"/>
    <w:rsid w:val="3DC87BB7"/>
    <w:rsid w:val="3E053D44"/>
    <w:rsid w:val="3E6B05F3"/>
    <w:rsid w:val="3EDD3D7B"/>
    <w:rsid w:val="41134EAF"/>
    <w:rsid w:val="41BA15F9"/>
    <w:rsid w:val="420A2FF8"/>
    <w:rsid w:val="42195A6A"/>
    <w:rsid w:val="43607A44"/>
    <w:rsid w:val="43AE49AE"/>
    <w:rsid w:val="446621C2"/>
    <w:rsid w:val="44AA2A23"/>
    <w:rsid w:val="44ED797D"/>
    <w:rsid w:val="44F21C4B"/>
    <w:rsid w:val="45480CA0"/>
    <w:rsid w:val="459735F2"/>
    <w:rsid w:val="45AD6951"/>
    <w:rsid w:val="463C00DC"/>
    <w:rsid w:val="463F32E9"/>
    <w:rsid w:val="47221287"/>
    <w:rsid w:val="47845592"/>
    <w:rsid w:val="48B431C7"/>
    <w:rsid w:val="495A1221"/>
    <w:rsid w:val="4AE83298"/>
    <w:rsid w:val="4B106CD2"/>
    <w:rsid w:val="4BEB5FEB"/>
    <w:rsid w:val="4BFA4157"/>
    <w:rsid w:val="4C001032"/>
    <w:rsid w:val="4C895B69"/>
    <w:rsid w:val="4D7A256B"/>
    <w:rsid w:val="4E284633"/>
    <w:rsid w:val="4EB07CD3"/>
    <w:rsid w:val="4EE43460"/>
    <w:rsid w:val="4F016F2E"/>
    <w:rsid w:val="4F9E2FE4"/>
    <w:rsid w:val="4FD07117"/>
    <w:rsid w:val="502925FF"/>
    <w:rsid w:val="50525AF0"/>
    <w:rsid w:val="50C54397"/>
    <w:rsid w:val="50D413E4"/>
    <w:rsid w:val="514044E5"/>
    <w:rsid w:val="517F3AB5"/>
    <w:rsid w:val="51872AF4"/>
    <w:rsid w:val="51A96376"/>
    <w:rsid w:val="51BD51B5"/>
    <w:rsid w:val="5261193E"/>
    <w:rsid w:val="53333171"/>
    <w:rsid w:val="537F0991"/>
    <w:rsid w:val="562D4626"/>
    <w:rsid w:val="565D50E4"/>
    <w:rsid w:val="56F00E14"/>
    <w:rsid w:val="570A2411"/>
    <w:rsid w:val="5750757E"/>
    <w:rsid w:val="579F09F4"/>
    <w:rsid w:val="581A10A7"/>
    <w:rsid w:val="59465D4C"/>
    <w:rsid w:val="59A10B54"/>
    <w:rsid w:val="5A2A7114"/>
    <w:rsid w:val="5C844C4D"/>
    <w:rsid w:val="5CE11D93"/>
    <w:rsid w:val="5D1A2FE5"/>
    <w:rsid w:val="5DB84FA9"/>
    <w:rsid w:val="5E0A1E6D"/>
    <w:rsid w:val="5F9A6485"/>
    <w:rsid w:val="60381087"/>
    <w:rsid w:val="61BC32B4"/>
    <w:rsid w:val="61F11BB7"/>
    <w:rsid w:val="620711AA"/>
    <w:rsid w:val="628A6975"/>
    <w:rsid w:val="62F9157D"/>
    <w:rsid w:val="633A301A"/>
    <w:rsid w:val="633E53F7"/>
    <w:rsid w:val="63A519FA"/>
    <w:rsid w:val="63C42AC6"/>
    <w:rsid w:val="64BD22D5"/>
    <w:rsid w:val="653A21F3"/>
    <w:rsid w:val="653A64E3"/>
    <w:rsid w:val="686A0B4A"/>
    <w:rsid w:val="68CD0632"/>
    <w:rsid w:val="69B942B6"/>
    <w:rsid w:val="6A800A3A"/>
    <w:rsid w:val="6A986B98"/>
    <w:rsid w:val="6B2263B7"/>
    <w:rsid w:val="6BB66257"/>
    <w:rsid w:val="6CAA3405"/>
    <w:rsid w:val="6CBE07C5"/>
    <w:rsid w:val="6CE124F8"/>
    <w:rsid w:val="6E4B1B52"/>
    <w:rsid w:val="6F2605FE"/>
    <w:rsid w:val="6F4020DE"/>
    <w:rsid w:val="6FF3011B"/>
    <w:rsid w:val="706E47D2"/>
    <w:rsid w:val="71B60E95"/>
    <w:rsid w:val="71F065BA"/>
    <w:rsid w:val="729829D6"/>
    <w:rsid w:val="73067FA2"/>
    <w:rsid w:val="73935D89"/>
    <w:rsid w:val="73BB0DAE"/>
    <w:rsid w:val="73C20023"/>
    <w:rsid w:val="7458541A"/>
    <w:rsid w:val="7479752E"/>
    <w:rsid w:val="758A0BF2"/>
    <w:rsid w:val="75F63195"/>
    <w:rsid w:val="760F7C86"/>
    <w:rsid w:val="76A77C9C"/>
    <w:rsid w:val="76D4578A"/>
    <w:rsid w:val="78241FCC"/>
    <w:rsid w:val="787E122A"/>
    <w:rsid w:val="78B56081"/>
    <w:rsid w:val="7A134250"/>
    <w:rsid w:val="7A4D29BF"/>
    <w:rsid w:val="7AD91A30"/>
    <w:rsid w:val="7BE704B8"/>
    <w:rsid w:val="7C090A90"/>
    <w:rsid w:val="7C4F638F"/>
    <w:rsid w:val="7D123060"/>
    <w:rsid w:val="7D8642F9"/>
    <w:rsid w:val="7E6C59D9"/>
    <w:rsid w:val="7F2B1DC6"/>
    <w:rsid w:val="7F5378E9"/>
    <w:rsid w:val="7FD231E4"/>
    <w:rsid w:val="FFF8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kern w:val="2"/>
      <w:sz w:val="18"/>
      <w:szCs w:val="18"/>
    </w:rPr>
  </w:style>
  <w:style w:type="character" w:customStyle="1" w:styleId="9">
    <w:name w:val="页眉 Char"/>
    <w:basedOn w:val="6"/>
    <w:link w:val="4"/>
    <w:qFormat/>
    <w:uiPriority w:val="0"/>
    <w:rPr>
      <w:kern w:val="2"/>
      <w:sz w:val="18"/>
      <w:szCs w:val="18"/>
    </w:rPr>
  </w:style>
  <w:style w:type="paragraph" w:customStyle="1" w:styleId="10">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39</TotalTime>
  <ScaleCrop>false</ScaleCrop>
  <LinksUpToDate>false</LinksUpToDate>
  <CharactersWithSpaces>44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2014-05-22T09:22:00Z</dcterms:created>
  <dc:creator>张明蕾</dc:creator>
  <cp:lastModifiedBy>孙烨</cp:lastModifiedBy>
  <cp:lastPrinted>2020-10-30T13:59:00Z</cp:lastPrinted>
  <dcterms:modified xsi:type="dcterms:W3CDTF">2021-12-07T08:19:12Z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19B86C671F554EA7B78915E11140C312</vt:lpwstr>
  </property>
</Properties>
</file>